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Override PartName="/word/theme/themeOverride2.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spacing w:line="620" w:lineRule="exact"/>
        <w:ind w:left="359" w:leftChars="171" w:firstLine="320" w:firstLineChars="100"/>
        <w:rPr>
          <w:rFonts w:hint="eastAsia" w:ascii="仿宋_GB2312" w:hAnsi="Times New Roman" w:eastAsia="仿宋_GB2312" w:cs="Times New Roman"/>
          <w:color w:val="000000"/>
          <w:sz w:val="32"/>
          <w:szCs w:val="32"/>
        </w:rPr>
      </w:pPr>
      <w:r>
        <w:rPr>
          <w:rFonts w:hint="eastAsia" w:ascii="仿宋_GB2312" w:hAnsi="Times New Roman" w:eastAsia="仿宋_GB2312" w:cs="Times New Roman"/>
          <w:color w:val="000000"/>
          <w:sz w:val="32"/>
          <w:szCs w:val="32"/>
        </w:rPr>
        <w:t>1．单位职责：为本地学龄前儿童提供优质的保育教育服务。</w:t>
      </w:r>
    </w:p>
    <w:p>
      <w:pPr>
        <w:spacing w:line="620" w:lineRule="exact"/>
        <w:ind w:left="359" w:leftChars="171" w:firstLine="320" w:firstLineChars="100"/>
        <w:rPr>
          <w:rFonts w:hint="eastAsia" w:ascii="仿宋_GB2312" w:hAnsi="Times New Roman" w:eastAsia="仿宋_GB2312" w:cs="Times New Roman"/>
          <w:color w:val="000000"/>
          <w:sz w:val="32"/>
          <w:szCs w:val="32"/>
        </w:rPr>
      </w:pPr>
      <w:r>
        <w:rPr>
          <w:rFonts w:hint="eastAsia" w:ascii="仿宋_GB2312" w:hAnsi="Times New Roman" w:eastAsia="仿宋_GB2312" w:cs="Times New Roman"/>
          <w:color w:val="000000"/>
          <w:sz w:val="32"/>
          <w:szCs w:val="32"/>
        </w:rPr>
        <w:t>2.单位机构设置情况：</w:t>
      </w:r>
    </w:p>
    <w:p>
      <w:pPr>
        <w:spacing w:line="620" w:lineRule="exact"/>
        <w:ind w:left="359" w:leftChars="171" w:firstLine="320" w:firstLineChars="100"/>
        <w:rPr>
          <w:rFonts w:hint="eastAsia" w:ascii="仿宋_GB2312" w:hAnsi="Times New Roman" w:eastAsia="仿宋_GB2312" w:cs="Times New Roman"/>
          <w:color w:val="000000"/>
          <w:sz w:val="32"/>
          <w:szCs w:val="32"/>
        </w:rPr>
      </w:pPr>
      <w:r>
        <w:rPr>
          <w:rFonts w:hint="eastAsia" w:ascii="仿宋_GB2312" w:hAnsi="Times New Roman" w:eastAsia="仿宋_GB2312" w:cs="Times New Roman"/>
          <w:color w:val="000000"/>
          <w:sz w:val="32"/>
          <w:szCs w:val="32"/>
        </w:rPr>
        <w:t>北京市大兴区青云店镇中心幼儿园现一园五址，分别为：中心园、沙堆营分园、东辛屯分园、大东新园、沙子营分园。幼儿园设有书记室和园长室，园长室下设总务处、安保办、保教室、行政办公室。总务处下设财务室、卫生保健室、后勤室。书记室下设工会、党办、团支部。</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hint="eastAsia" w:ascii="仿宋_GB2312" w:eastAsia="仿宋_GB2312"/>
          <w:sz w:val="28"/>
          <w:szCs w:val="28"/>
          <w:highlight w:val="none"/>
        </w:rPr>
        <w:t>3123.1</w:t>
      </w: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万元，比上年减少</w:t>
      </w:r>
      <w:r>
        <w:rPr>
          <w:rFonts w:hint="eastAsia" w:ascii="仿宋_GB2312" w:eastAsia="仿宋_GB2312"/>
          <w:sz w:val="28"/>
          <w:szCs w:val="28"/>
          <w:highlight w:val="none"/>
          <w:lang w:val="en-US" w:eastAsia="zh-CN"/>
        </w:rPr>
        <w:t>86.78</w:t>
      </w:r>
      <w:r>
        <w:rPr>
          <w:rFonts w:hint="eastAsia" w:ascii="仿宋_GB2312" w:eastAsia="仿宋_GB2312"/>
          <w:sz w:val="28"/>
          <w:szCs w:val="28"/>
          <w:highlight w:val="none"/>
        </w:rPr>
        <w:t>万元，下降</w:t>
      </w:r>
      <w:r>
        <w:rPr>
          <w:rFonts w:hint="eastAsia" w:ascii="仿宋_GB2312" w:eastAsia="仿宋_GB2312"/>
          <w:sz w:val="28"/>
          <w:szCs w:val="28"/>
          <w:highlight w:val="none"/>
          <w:lang w:val="en-US" w:eastAsia="zh-CN"/>
        </w:rPr>
        <w:t>2.7</w:t>
      </w:r>
      <w:r>
        <w:rPr>
          <w:rFonts w:hint="eastAsia" w:ascii="仿宋_GB2312" w:eastAsia="仿宋_GB2312"/>
          <w:sz w:val="28"/>
          <w:szCs w:val="28"/>
          <w:highlight w:val="none"/>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2024年度收入总计3007.2</w:t>
      </w:r>
      <w:r>
        <w:rPr>
          <w:rFonts w:hint="eastAsia" w:ascii="仿宋_GB2312" w:eastAsia="仿宋_GB2312"/>
          <w:sz w:val="28"/>
          <w:szCs w:val="28"/>
          <w:lang w:val="en-US" w:eastAsia="zh-CN"/>
        </w:rPr>
        <w:t>1</w:t>
      </w:r>
      <w:r>
        <w:rPr>
          <w:rFonts w:hint="eastAsia" w:ascii="仿宋_GB2312" w:eastAsia="仿宋_GB2312"/>
          <w:sz w:val="28"/>
          <w:szCs w:val="28"/>
        </w:rPr>
        <w:t>万元，比上年减少</w:t>
      </w:r>
      <w:r>
        <w:rPr>
          <w:rFonts w:hint="eastAsia" w:ascii="仿宋_GB2312" w:eastAsia="仿宋_GB2312"/>
          <w:sz w:val="28"/>
          <w:szCs w:val="28"/>
          <w:lang w:val="en-US" w:eastAsia="zh-CN"/>
        </w:rPr>
        <w:t>160.64</w:t>
      </w:r>
      <w:r>
        <w:rPr>
          <w:rFonts w:hint="eastAsia" w:ascii="仿宋_GB2312" w:eastAsia="仿宋_GB2312"/>
          <w:sz w:val="28"/>
          <w:szCs w:val="28"/>
        </w:rPr>
        <w:t>万元，下降</w:t>
      </w:r>
      <w:r>
        <w:rPr>
          <w:rFonts w:hint="eastAsia" w:ascii="仿宋_GB2312" w:eastAsia="仿宋_GB2312"/>
          <w:sz w:val="28"/>
          <w:szCs w:val="28"/>
          <w:lang w:val="en-US" w:eastAsia="zh-CN"/>
        </w:rPr>
        <w:t>5.07</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3007.21</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3007.21</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114300" distR="114300">
            <wp:extent cx="4847590" cy="2097405"/>
            <wp:effectExtent l="5080" t="5080" r="5080" b="12065"/>
            <wp:docPr id="3" name="图表 3" descr="7b0a202020202263686172745265734964223a20223230343735393537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2024年度本年支出合计3123.1</w:t>
      </w:r>
      <w:r>
        <w:rPr>
          <w:rFonts w:hint="eastAsia" w:ascii="仿宋_GB2312" w:eastAsia="仿宋_GB2312"/>
          <w:sz w:val="28"/>
          <w:szCs w:val="28"/>
          <w:lang w:val="en-US" w:eastAsia="zh-CN"/>
        </w:rPr>
        <w:t>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86.78</w:t>
      </w:r>
      <w:r>
        <w:rPr>
          <w:rFonts w:hint="eastAsia" w:ascii="仿宋_GB2312" w:eastAsia="仿宋_GB2312"/>
          <w:sz w:val="28"/>
          <w:szCs w:val="28"/>
        </w:rPr>
        <w:t>万元，下降</w:t>
      </w:r>
      <w:r>
        <w:rPr>
          <w:rFonts w:hint="eastAsia" w:ascii="仿宋_GB2312" w:eastAsia="仿宋_GB2312"/>
          <w:sz w:val="28"/>
          <w:szCs w:val="28"/>
          <w:lang w:val="en-US" w:eastAsia="zh-CN"/>
        </w:rPr>
        <w:t>2.7</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1838.71</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58.87</w:t>
      </w:r>
      <w:r>
        <w:rPr>
          <w:rFonts w:hint="eastAsia" w:ascii="仿宋_GB2312" w:eastAsia="仿宋_GB2312"/>
          <w:sz w:val="28"/>
          <w:szCs w:val="28"/>
          <w:highlight w:val="none"/>
        </w:rPr>
        <w:t>%；项目支出</w:t>
      </w:r>
      <w:r>
        <w:rPr>
          <w:rFonts w:ascii="仿宋_GB2312" w:eastAsia="仿宋_GB2312"/>
          <w:sz w:val="28"/>
          <w:szCs w:val="28"/>
          <w:highlight w:val="none"/>
        </w:rPr>
        <w:t>1284.4</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41.13</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3961130" cy="2182495"/>
            <wp:effectExtent l="4445" t="4445" r="15875" b="22860"/>
            <wp:docPr id="4" name="图表 4" descr="7b0a202020202263686172745265734964223a20223230343735393537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2024年度财政拨款收入总计3007.2</w:t>
      </w:r>
      <w:r>
        <w:rPr>
          <w:rFonts w:hint="eastAsia" w:ascii="仿宋_GB2312" w:eastAsia="仿宋_GB2312"/>
          <w:sz w:val="28"/>
          <w:szCs w:val="28"/>
          <w:lang w:val="en-US" w:eastAsia="zh-CN"/>
        </w:rPr>
        <w:t>1</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160.64</w:t>
      </w:r>
      <w:r>
        <w:rPr>
          <w:rFonts w:hint="eastAsia" w:ascii="仿宋_GB2312" w:eastAsia="仿宋_GB2312"/>
          <w:sz w:val="28"/>
          <w:szCs w:val="28"/>
        </w:rPr>
        <w:t>万元，下降</w:t>
      </w:r>
      <w:r>
        <w:rPr>
          <w:rFonts w:hint="eastAsia" w:ascii="仿宋_GB2312" w:eastAsia="仿宋_GB2312"/>
          <w:sz w:val="28"/>
          <w:szCs w:val="28"/>
          <w:lang w:val="en-US" w:eastAsia="zh-CN"/>
        </w:rPr>
        <w:t>5.07</w:t>
      </w:r>
      <w:r>
        <w:rPr>
          <w:rFonts w:hint="eastAsia" w:ascii="仿宋_GB2312" w:eastAsia="仿宋_GB2312"/>
          <w:sz w:val="28"/>
          <w:szCs w:val="28"/>
        </w:rPr>
        <w:t>%。主要原因：24年项目款中临时工项目</w:t>
      </w:r>
      <w:r>
        <w:rPr>
          <w:rFonts w:hint="eastAsia" w:ascii="仿宋_GB2312" w:eastAsia="仿宋_GB2312"/>
          <w:sz w:val="28"/>
          <w:szCs w:val="28"/>
          <w:lang w:val="en-US" w:eastAsia="zh-CN"/>
        </w:rPr>
        <w:t>经费收入</w:t>
      </w:r>
      <w:r>
        <w:rPr>
          <w:rFonts w:hint="eastAsia" w:ascii="仿宋_GB2312" w:eastAsia="仿宋_GB2312"/>
          <w:sz w:val="28"/>
          <w:szCs w:val="28"/>
        </w:rPr>
        <w:t>降低；24年无引导性资金项目</w:t>
      </w:r>
      <w:r>
        <w:rPr>
          <w:rFonts w:hint="eastAsia" w:ascii="仿宋_GB2312" w:eastAsia="仿宋_GB2312"/>
          <w:sz w:val="28"/>
          <w:szCs w:val="28"/>
          <w:lang w:val="en-US" w:eastAsia="zh-CN"/>
        </w:rPr>
        <w:t>收入；</w:t>
      </w:r>
      <w:r>
        <w:rPr>
          <w:rFonts w:hint="eastAsia" w:ascii="仿宋_GB2312" w:eastAsia="仿宋_GB2312"/>
          <w:sz w:val="28"/>
          <w:szCs w:val="28"/>
        </w:rPr>
        <w:t>公用经费</w:t>
      </w:r>
      <w:r>
        <w:rPr>
          <w:rFonts w:hint="eastAsia" w:ascii="仿宋_GB2312" w:eastAsia="仿宋_GB2312"/>
          <w:sz w:val="28"/>
          <w:szCs w:val="28"/>
          <w:lang w:val="en-US" w:eastAsia="zh-CN"/>
        </w:rPr>
        <w:t>收入</w:t>
      </w:r>
      <w:r>
        <w:rPr>
          <w:rFonts w:hint="eastAsia" w:ascii="仿宋_GB2312" w:eastAsia="仿宋_GB2312"/>
          <w:sz w:val="28"/>
          <w:szCs w:val="28"/>
        </w:rPr>
        <w:t>降低。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2024年度财政拨款支出总计3123.1</w:t>
      </w:r>
      <w:r>
        <w:rPr>
          <w:rFonts w:hint="eastAsia" w:ascii="仿宋_GB2312" w:eastAsia="仿宋_GB2312"/>
          <w:sz w:val="28"/>
          <w:szCs w:val="28"/>
          <w:lang w:val="en-US" w:eastAsia="zh-CN"/>
        </w:rPr>
        <w:t>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86.78</w:t>
      </w:r>
      <w:r>
        <w:rPr>
          <w:rFonts w:hint="eastAsia" w:ascii="仿宋_GB2312" w:eastAsia="仿宋_GB2312"/>
          <w:sz w:val="28"/>
          <w:szCs w:val="28"/>
        </w:rPr>
        <w:t>万元，下降</w:t>
      </w:r>
      <w:r>
        <w:rPr>
          <w:rFonts w:hint="eastAsia" w:ascii="仿宋_GB2312" w:eastAsia="仿宋_GB2312"/>
          <w:sz w:val="28"/>
          <w:szCs w:val="28"/>
          <w:lang w:val="en-US" w:eastAsia="zh-CN"/>
        </w:rPr>
        <w:t>2.7</w:t>
      </w:r>
      <w:r>
        <w:rPr>
          <w:rFonts w:hint="eastAsia" w:ascii="仿宋_GB2312" w:eastAsia="仿宋_GB2312"/>
          <w:sz w:val="28"/>
          <w:szCs w:val="28"/>
        </w:rPr>
        <w:t>%。主要原因：24年项目款中临时工项目降低，24年临时工人数大幅降低，经费支出降低；24年无引导性资金项目支出</w:t>
      </w:r>
      <w:r>
        <w:rPr>
          <w:rFonts w:hint="eastAsia" w:ascii="仿宋_GB2312" w:eastAsia="仿宋_GB2312"/>
          <w:sz w:val="28"/>
          <w:szCs w:val="28"/>
          <w:lang w:eastAsia="zh-CN"/>
        </w:rPr>
        <w:t>；</w:t>
      </w:r>
      <w:r>
        <w:rPr>
          <w:rFonts w:hint="eastAsia" w:ascii="仿宋_GB2312" w:eastAsia="仿宋_GB2312"/>
          <w:sz w:val="28"/>
          <w:szCs w:val="28"/>
        </w:rPr>
        <w:t xml:space="preserve">公用经费支出降低，24年学生数大幅降低。 </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autoSpaceDE w:val="0"/>
        <w:autoSpaceDN w:val="0"/>
        <w:adjustRightInd w:val="0"/>
        <w:spacing w:line="580" w:lineRule="exact"/>
        <w:ind w:firstLine="560" w:firstLineChars="200"/>
        <w:jc w:val="left"/>
        <w:rPr>
          <w:rFonts w:hint="eastAsia"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年度一般公共预算财政拨款支出3123.1</w:t>
      </w:r>
      <w:r>
        <w:rPr>
          <w:rFonts w:hint="eastAsia" w:ascii="仿宋_GB2312" w:eastAsia="仿宋_GB2312"/>
          <w:sz w:val="28"/>
          <w:szCs w:val="28"/>
          <w:lang w:val="en-US" w:eastAsia="zh-CN"/>
        </w:rPr>
        <w:t>2</w:t>
      </w:r>
      <w:r>
        <w:rPr>
          <w:rFonts w:hint="eastAsia" w:ascii="仿宋_GB2312" w:eastAsia="仿宋_GB2312"/>
          <w:sz w:val="28"/>
          <w:szCs w:val="28"/>
        </w:rPr>
        <w:t>万元，主要用于以下方面：教育支出2701.8</w:t>
      </w:r>
      <w:r>
        <w:rPr>
          <w:rFonts w:hint="eastAsia" w:ascii="仿宋_GB2312" w:eastAsia="仿宋_GB2312"/>
          <w:sz w:val="28"/>
          <w:szCs w:val="28"/>
          <w:lang w:val="en-US" w:eastAsia="zh-CN"/>
        </w:rPr>
        <w:t>4</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86.51</w:t>
      </w:r>
      <w:r>
        <w:rPr>
          <w:rFonts w:hint="eastAsia" w:ascii="仿宋_GB2312" w:eastAsia="仿宋_GB2312"/>
          <w:sz w:val="28"/>
          <w:szCs w:val="28"/>
        </w:rPr>
        <w:t>%；社会保障和就业支出174.35万元</w:t>
      </w:r>
      <w:r>
        <w:rPr>
          <w:rFonts w:ascii="仿宋_GB2312" w:eastAsia="仿宋_GB2312"/>
          <w:sz w:val="28"/>
          <w:szCs w:val="28"/>
        </w:rPr>
        <w:t>,</w:t>
      </w:r>
      <w:r>
        <w:rPr>
          <w:rFonts w:hint="eastAsia" w:ascii="仿宋_GB2312" w:eastAsia="仿宋_GB2312"/>
          <w:sz w:val="28"/>
          <w:szCs w:val="28"/>
        </w:rPr>
        <w:t xml:space="preserve"> 占本年财政拨款支出</w:t>
      </w:r>
      <w:r>
        <w:rPr>
          <w:rFonts w:hint="eastAsia" w:ascii="仿宋_GB2312" w:eastAsia="仿宋_GB2312"/>
          <w:sz w:val="28"/>
          <w:szCs w:val="28"/>
          <w:lang w:val="en-US" w:eastAsia="zh-CN"/>
        </w:rPr>
        <w:t>5.58</w:t>
      </w:r>
      <w:r>
        <w:rPr>
          <w:rFonts w:hint="eastAsia" w:ascii="仿宋_GB2312" w:eastAsia="仿宋_GB2312"/>
          <w:sz w:val="28"/>
          <w:szCs w:val="28"/>
        </w:rPr>
        <w:t>%。卫生健康支出131.02万元，占本年财政拨款支出</w:t>
      </w:r>
      <w:r>
        <w:rPr>
          <w:rFonts w:hint="eastAsia" w:ascii="仿宋_GB2312" w:eastAsia="仿宋_GB2312"/>
          <w:sz w:val="28"/>
          <w:szCs w:val="28"/>
          <w:lang w:val="en-US" w:eastAsia="zh-CN"/>
        </w:rPr>
        <w:t>4.20</w:t>
      </w:r>
      <w:r>
        <w:rPr>
          <w:rFonts w:hint="eastAsia" w:ascii="仿宋_GB2312" w:eastAsia="仿宋_GB2312"/>
          <w:sz w:val="28"/>
          <w:szCs w:val="28"/>
        </w:rPr>
        <w:t>%。住房保障支出115.9</w:t>
      </w:r>
      <w:r>
        <w:rPr>
          <w:rFonts w:hint="eastAsia" w:ascii="仿宋_GB2312" w:eastAsia="仿宋_GB2312"/>
          <w:sz w:val="28"/>
          <w:szCs w:val="28"/>
          <w:lang w:val="en-US" w:eastAsia="zh-CN"/>
        </w:rPr>
        <w:t>1万元，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3.71%。</w:t>
      </w:r>
    </w:p>
    <w:p>
      <w:pPr>
        <w:numPr>
          <w:ilvl w:val="0"/>
          <w:numId w:val="1"/>
        </w:numPr>
        <w:autoSpaceDE w:val="0"/>
        <w:autoSpaceDN w:val="0"/>
        <w:adjustRightInd w:val="0"/>
        <w:spacing w:line="580" w:lineRule="exact"/>
        <w:ind w:firstLine="560" w:firstLineChars="200"/>
        <w:jc w:val="left"/>
        <w:rPr>
          <w:rFonts w:hint="eastAsia"/>
        </w:rPr>
      </w:pPr>
      <w:r>
        <w:rPr>
          <w:rFonts w:hint="eastAsia" w:ascii="仿宋_GB2312" w:eastAsia="仿宋_GB2312"/>
          <w:sz w:val="28"/>
          <w:szCs w:val="28"/>
        </w:rPr>
        <w:t>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lang w:val="en-US" w:eastAsia="zh-CN"/>
        </w:rPr>
      </w:pPr>
      <w:r>
        <w:rPr>
          <w:rFonts w:hint="eastAsia" w:ascii="仿宋_GB2312" w:eastAsia="仿宋_GB2312"/>
          <w:sz w:val="28"/>
          <w:szCs w:val="28"/>
        </w:rPr>
        <w:t>1.“教育支出”2024年度年初预算2710.96万元，202</w:t>
      </w:r>
      <w:r>
        <w:rPr>
          <w:rFonts w:hint="eastAsia" w:ascii="仿宋_GB2312" w:eastAsia="仿宋_GB2312"/>
          <w:sz w:val="28"/>
          <w:szCs w:val="28"/>
          <w:lang w:val="en-US" w:eastAsia="zh-CN"/>
        </w:rPr>
        <w:t>4</w:t>
      </w:r>
      <w:r>
        <w:rPr>
          <w:rFonts w:hint="eastAsia" w:ascii="仿宋_GB2312" w:eastAsia="仿宋_GB2312"/>
          <w:sz w:val="28"/>
          <w:szCs w:val="28"/>
        </w:rPr>
        <w:t>年度决算2701.8</w:t>
      </w:r>
      <w:r>
        <w:rPr>
          <w:rFonts w:hint="eastAsia" w:ascii="仿宋_GB2312" w:eastAsia="仿宋_GB2312"/>
          <w:sz w:val="28"/>
          <w:szCs w:val="28"/>
          <w:lang w:val="en-US" w:eastAsia="zh-CN"/>
        </w:rPr>
        <w:t>4</w:t>
      </w:r>
      <w:r>
        <w:rPr>
          <w:rFonts w:hint="eastAsia" w:ascii="仿宋_GB2312" w:eastAsia="仿宋_GB2312"/>
          <w:sz w:val="28"/>
          <w:szCs w:val="28"/>
        </w:rPr>
        <w:t>万元，完成年初预算的</w:t>
      </w:r>
      <w:r>
        <w:rPr>
          <w:rFonts w:hint="eastAsia" w:ascii="仿宋_GB2312" w:eastAsia="仿宋_GB2312"/>
          <w:sz w:val="28"/>
          <w:szCs w:val="28"/>
          <w:lang w:val="en-US" w:eastAsia="zh-CN"/>
        </w:rPr>
        <w:t>99.66</w:t>
      </w:r>
      <w:r>
        <w:rPr>
          <w:rFonts w:hint="eastAsia" w:ascii="仿宋_GB2312" w:eastAsia="仿宋_GB2312"/>
          <w:sz w:val="28"/>
          <w:szCs w:val="28"/>
        </w:rPr>
        <w:t>%。</w:t>
      </w:r>
      <w:r>
        <w:rPr>
          <w:rFonts w:hint="eastAsia" w:ascii="仿宋_GB2312" w:eastAsia="仿宋_GB2312"/>
          <w:sz w:val="28"/>
          <w:szCs w:val="28"/>
          <w:lang w:val="en-US" w:eastAsia="zh-CN"/>
        </w:rPr>
        <w:t>其中：</w:t>
      </w:r>
    </w:p>
    <w:p>
      <w:pPr>
        <w:autoSpaceDE w:val="0"/>
        <w:autoSpaceDN w:val="0"/>
        <w:adjustRightInd w:val="0"/>
        <w:spacing w:line="580" w:lineRule="exact"/>
        <w:ind w:firstLine="840" w:firstLineChars="300"/>
        <w:jc w:val="left"/>
        <w:rPr>
          <w:rFonts w:hint="eastAsia" w:ascii="仿宋_GB2312" w:eastAsia="仿宋_GB2312"/>
          <w:sz w:val="28"/>
          <w:szCs w:val="28"/>
          <w:lang w:val="en-US" w:eastAsia="zh-CN"/>
        </w:rPr>
      </w:pPr>
      <w:r>
        <w:rPr>
          <w:rFonts w:hint="eastAsia" w:ascii="仿宋_GB2312" w:eastAsia="仿宋_GB2312"/>
          <w:sz w:val="28"/>
          <w:szCs w:val="28"/>
        </w:rPr>
        <w:t>“普通教育”2024年度年初预算2710.96万元，202</w:t>
      </w:r>
      <w:r>
        <w:rPr>
          <w:rFonts w:hint="eastAsia" w:ascii="仿宋_GB2312" w:eastAsia="仿宋_GB2312"/>
          <w:sz w:val="28"/>
          <w:szCs w:val="28"/>
          <w:lang w:val="en-US" w:eastAsia="zh-CN"/>
        </w:rPr>
        <w:t>4</w:t>
      </w:r>
      <w:r>
        <w:rPr>
          <w:rFonts w:hint="eastAsia" w:ascii="仿宋_GB2312" w:eastAsia="仿宋_GB2312"/>
          <w:sz w:val="28"/>
          <w:szCs w:val="28"/>
        </w:rPr>
        <w:t>年度决算2701.8</w:t>
      </w:r>
      <w:r>
        <w:rPr>
          <w:rFonts w:hint="eastAsia" w:ascii="仿宋_GB2312" w:eastAsia="仿宋_GB2312"/>
          <w:sz w:val="28"/>
          <w:szCs w:val="28"/>
          <w:lang w:val="en-US" w:eastAsia="zh-CN"/>
        </w:rPr>
        <w:t>4</w:t>
      </w:r>
      <w:r>
        <w:rPr>
          <w:rFonts w:hint="eastAsia" w:ascii="仿宋_GB2312" w:eastAsia="仿宋_GB2312"/>
          <w:sz w:val="28"/>
          <w:szCs w:val="28"/>
        </w:rPr>
        <w:t>万元，完成年初预算的</w:t>
      </w:r>
      <w:r>
        <w:rPr>
          <w:rFonts w:hint="eastAsia" w:ascii="仿宋_GB2312" w:eastAsia="仿宋_GB2312"/>
          <w:sz w:val="28"/>
          <w:szCs w:val="28"/>
          <w:lang w:val="en-US" w:eastAsia="zh-CN"/>
        </w:rPr>
        <w:t>99.66</w:t>
      </w:r>
      <w:r>
        <w:rPr>
          <w:rFonts w:hint="eastAsia" w:ascii="仿宋_GB2312" w:eastAsia="仿宋_GB2312"/>
          <w:sz w:val="28"/>
          <w:szCs w:val="28"/>
        </w:rPr>
        <w:t>%。主要原因：</w:t>
      </w:r>
      <w:r>
        <w:rPr>
          <w:rFonts w:hint="eastAsia" w:ascii="仿宋_GB2312" w:eastAsia="仿宋_GB2312"/>
          <w:sz w:val="28"/>
          <w:szCs w:val="28"/>
          <w:lang w:val="en-US" w:eastAsia="zh-CN"/>
        </w:rPr>
        <w:t>临时工人数降低，临时工项目经费降低。</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2.“社会保障和就业支出” 2024年度年初预算160.8</w:t>
      </w:r>
      <w:r>
        <w:rPr>
          <w:rFonts w:hint="eastAsia" w:ascii="仿宋_GB2312" w:eastAsia="仿宋_GB2312"/>
          <w:sz w:val="28"/>
          <w:szCs w:val="28"/>
          <w:lang w:val="en-US" w:eastAsia="zh-CN"/>
        </w:rPr>
        <w:t>2</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年度决算174.35万元，完成年初预算的</w:t>
      </w:r>
      <w:r>
        <w:rPr>
          <w:rFonts w:hint="eastAsia" w:ascii="仿宋_GB2312" w:eastAsia="仿宋_GB2312"/>
          <w:sz w:val="28"/>
          <w:szCs w:val="28"/>
          <w:lang w:val="en-US" w:eastAsia="zh-CN"/>
        </w:rPr>
        <w:t>108.41</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“行政事业单位养老支出”2024年度年初预算160.8</w:t>
      </w:r>
      <w:r>
        <w:rPr>
          <w:rFonts w:hint="eastAsia" w:ascii="仿宋_GB2312" w:eastAsia="仿宋_GB2312"/>
          <w:sz w:val="28"/>
          <w:szCs w:val="28"/>
          <w:lang w:val="en-US" w:eastAsia="zh-CN"/>
        </w:rPr>
        <w:t>2</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年度决算174.35万元，完成年初预算的</w:t>
      </w:r>
      <w:r>
        <w:rPr>
          <w:rFonts w:hint="eastAsia" w:ascii="仿宋_GB2312" w:eastAsia="仿宋_GB2312"/>
          <w:sz w:val="28"/>
          <w:szCs w:val="28"/>
          <w:lang w:val="en-US" w:eastAsia="zh-CN"/>
        </w:rPr>
        <w:t>108.41</w:t>
      </w:r>
      <w:r>
        <w:rPr>
          <w:rFonts w:hint="eastAsia" w:ascii="仿宋_GB2312" w:eastAsia="仿宋_GB2312"/>
          <w:sz w:val="28"/>
          <w:szCs w:val="28"/>
        </w:rPr>
        <w:t>%。主要原因：养老保险基数</w:t>
      </w:r>
      <w:r>
        <w:rPr>
          <w:rFonts w:ascii="仿宋_GB2312" w:eastAsia="仿宋_GB2312"/>
          <w:sz w:val="28"/>
          <w:szCs w:val="28"/>
        </w:rPr>
        <w:t>调标</w:t>
      </w:r>
      <w:r>
        <w:rPr>
          <w:rFonts w:hint="eastAsia" w:ascii="仿宋_GB2312" w:eastAsia="仿宋_GB2312"/>
          <w:sz w:val="28"/>
          <w:szCs w:val="28"/>
        </w:rPr>
        <w:t>、职业年金基数</w:t>
      </w:r>
      <w:r>
        <w:rPr>
          <w:rFonts w:ascii="仿宋_GB2312" w:eastAsia="仿宋_GB2312"/>
          <w:sz w:val="28"/>
          <w:szCs w:val="28"/>
        </w:rPr>
        <w:t>调标</w:t>
      </w:r>
      <w:r>
        <w:rPr>
          <w:rFonts w:hint="eastAsia" w:ascii="仿宋_GB2312" w:eastAsia="仿宋_GB2312"/>
          <w:sz w:val="28"/>
          <w:szCs w:val="28"/>
          <w:lang w:eastAsia="zh-CN"/>
        </w:rPr>
        <w:t>。</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“卫生健康支出”2024年度年初预算127.25万元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年度决算131.02万元，完成年初预算的</w:t>
      </w:r>
      <w:r>
        <w:rPr>
          <w:rFonts w:hint="eastAsia" w:ascii="仿宋_GB2312" w:eastAsia="仿宋_GB2312"/>
          <w:sz w:val="28"/>
          <w:szCs w:val="28"/>
          <w:lang w:val="en-US" w:eastAsia="zh-CN"/>
        </w:rPr>
        <w:t>108.41</w:t>
      </w:r>
      <w:r>
        <w:rPr>
          <w:rFonts w:hint="eastAsia" w:ascii="仿宋_GB2312" w:eastAsia="仿宋_GB2312"/>
          <w:sz w:val="28"/>
          <w:szCs w:val="28"/>
        </w:rPr>
        <w:t>%。</w:t>
      </w:r>
      <w:r>
        <w:rPr>
          <w:rFonts w:hint="eastAsia" w:ascii="仿宋_GB2312" w:eastAsia="仿宋_GB2312"/>
          <w:sz w:val="28"/>
          <w:szCs w:val="28"/>
          <w:lang w:val="en-US" w:eastAsia="zh-CN"/>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“行政事业单位医疗”2024年度年初预算127.25万元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年度决算131.02万元，完成年初预算的</w:t>
      </w:r>
      <w:r>
        <w:rPr>
          <w:rFonts w:hint="eastAsia" w:ascii="仿宋_GB2312" w:eastAsia="仿宋_GB2312"/>
          <w:sz w:val="28"/>
          <w:szCs w:val="28"/>
          <w:lang w:val="en-US" w:eastAsia="zh-CN"/>
        </w:rPr>
        <w:t>108.41</w:t>
      </w:r>
      <w:r>
        <w:rPr>
          <w:rFonts w:hint="eastAsia" w:ascii="仿宋_GB2312" w:eastAsia="仿宋_GB2312"/>
          <w:sz w:val="28"/>
          <w:szCs w:val="28"/>
        </w:rPr>
        <w:t>%。主要原因：医疗保险基数调标、公务员医疗</w:t>
      </w:r>
      <w:r>
        <w:rPr>
          <w:rFonts w:ascii="仿宋_GB2312" w:eastAsia="仿宋_GB2312"/>
          <w:sz w:val="28"/>
          <w:szCs w:val="28"/>
        </w:rPr>
        <w:t>补助</w:t>
      </w:r>
      <w:r>
        <w:rPr>
          <w:rFonts w:hint="eastAsia" w:ascii="仿宋_GB2312" w:eastAsia="仿宋_GB2312"/>
          <w:sz w:val="28"/>
          <w:szCs w:val="28"/>
        </w:rPr>
        <w:t>基数</w:t>
      </w:r>
      <w:r>
        <w:rPr>
          <w:rFonts w:ascii="仿宋_GB2312" w:eastAsia="仿宋_GB2312"/>
          <w:sz w:val="28"/>
          <w:szCs w:val="28"/>
        </w:rPr>
        <w:t>调标</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.“住房保障支出”2024年度年初预算0万元，2024年度决算115.9</w:t>
      </w:r>
      <w:r>
        <w:rPr>
          <w:rFonts w:hint="eastAsia" w:ascii="仿宋_GB2312" w:eastAsia="仿宋_GB2312"/>
          <w:sz w:val="28"/>
          <w:szCs w:val="28"/>
          <w:lang w:val="en-US" w:eastAsia="zh-CN"/>
        </w:rPr>
        <w:t>1</w:t>
      </w:r>
      <w:r>
        <w:rPr>
          <w:rFonts w:hint="eastAsia" w:ascii="仿宋_GB2312" w:eastAsia="仿宋_GB2312"/>
          <w:sz w:val="28"/>
          <w:szCs w:val="28"/>
        </w:rPr>
        <w:t>万元，其中：</w:t>
      </w:r>
    </w:p>
    <w:p>
      <w:pPr>
        <w:pStyle w:val="2"/>
        <w:rPr>
          <w:rFonts w:hint="eastAsia" w:ascii="仿宋_GB2312" w:hAnsi="Times New Roman" w:eastAsia="仿宋_GB2312" w:cs="Times New Roman"/>
          <w:b w:val="0"/>
          <w:bCs w:val="0"/>
          <w:kern w:val="2"/>
          <w:sz w:val="28"/>
          <w:szCs w:val="28"/>
          <w:lang w:val="en-US" w:eastAsia="zh-CN" w:bidi="ar-SA"/>
        </w:rPr>
      </w:pPr>
      <w:r>
        <w:rPr>
          <w:rFonts w:hint="eastAsia" w:ascii="仿宋_GB2312" w:eastAsia="仿宋_GB2312"/>
          <w:sz w:val="28"/>
          <w:szCs w:val="28"/>
        </w:rPr>
        <w:t>“</w:t>
      </w:r>
      <w:r>
        <w:rPr>
          <w:rFonts w:hint="eastAsia" w:ascii="仿宋_GB2312" w:hAnsi="Times New Roman" w:eastAsia="仿宋_GB2312" w:cs="Times New Roman"/>
          <w:b w:val="0"/>
          <w:bCs w:val="0"/>
          <w:kern w:val="2"/>
          <w:sz w:val="28"/>
          <w:szCs w:val="28"/>
          <w:lang w:val="en-US" w:eastAsia="zh-CN" w:bidi="ar-SA"/>
        </w:rPr>
        <w:t>住房改革支出”2024年度年初预算0万元，2024年度决算115.91万元，主要原因：本年度补发第三批住房补贴。</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0</w:t>
      </w:r>
      <w:r>
        <w:rPr>
          <w:rFonts w:hint="eastAsia" w:ascii="仿宋_GB2312" w:eastAsia="仿宋_GB2312"/>
          <w:sz w:val="28"/>
          <w:szCs w:val="28"/>
        </w:rPr>
        <w:t>万元。</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1838.71</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2.17</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5.6</w:t>
      </w:r>
      <w:r>
        <w:rPr>
          <w:rFonts w:hint="eastAsia" w:ascii="仿宋_GB2312" w:eastAsia="仿宋_GB2312"/>
          <w:sz w:val="28"/>
          <w:szCs w:val="28"/>
        </w:rPr>
        <w:t>万元</w:t>
      </w:r>
      <w:r>
        <w:rPr>
          <w:rFonts w:hint="eastAsia" w:ascii="仿宋_GB2312" w:eastAsia="仿宋_GB2312"/>
          <w:sz w:val="28"/>
          <w:szCs w:val="28"/>
          <w:lang w:val="en-US" w:eastAsia="zh-CN"/>
        </w:rPr>
        <w:t>减少3.43</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增减无变化，保持一致</w:t>
      </w:r>
      <w:r>
        <w:rPr>
          <w:rFonts w:hint="eastAsia" w:ascii="仿宋_GB2312" w:eastAsia="仿宋_GB2312"/>
          <w:sz w:val="28"/>
          <w:szCs w:val="28"/>
        </w:rPr>
        <w:t>。主要原因：</w:t>
      </w:r>
      <w:r>
        <w:rPr>
          <w:rFonts w:hint="eastAsia" w:ascii="仿宋_GB2312" w:hAnsi="Times New Roman" w:eastAsia="仿宋_GB2312" w:cs="Times New Roman"/>
          <w:color w:val="000000"/>
          <w:kern w:val="2"/>
          <w:sz w:val="28"/>
          <w:szCs w:val="28"/>
          <w:lang w:val="en-US" w:eastAsia="zh-CN" w:bidi="ar"/>
        </w:rPr>
        <w:t>是因公出国（境）费用根据年度出国审批情况作为追加项目管理，单位不做年初预算，本年也没有出国审批项目发生</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年度因公出国（境）费用主要用于</w:t>
      </w:r>
      <w:r>
        <w:rPr>
          <w:rFonts w:hint="eastAsia" w:ascii="仿宋_GB2312" w:hAnsi="Times New Roman" w:eastAsia="仿宋_GB2312" w:cs="Times New Roman"/>
          <w:color w:val="000000"/>
          <w:kern w:val="2"/>
          <w:sz w:val="28"/>
          <w:szCs w:val="28"/>
          <w:lang w:val="en-US" w:eastAsia="zh-CN" w:bidi="ar"/>
        </w:rPr>
        <w:t>出国（境）的会议、培训交流等事项</w:t>
      </w:r>
      <w:r>
        <w:rPr>
          <w:rFonts w:hint="eastAsia" w:ascii="仿宋_GB2312" w:eastAsia="仿宋_GB2312"/>
          <w:sz w:val="28"/>
          <w:szCs w:val="28"/>
        </w:rPr>
        <w:t>等，202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0.2万</w:t>
      </w:r>
      <w:r>
        <w:rPr>
          <w:rFonts w:hint="eastAsia" w:ascii="仿宋_GB2312" w:eastAsia="仿宋_GB2312"/>
          <w:sz w:val="28"/>
          <w:szCs w:val="28"/>
        </w:rPr>
        <w:t>元减少</w:t>
      </w:r>
      <w:r>
        <w:rPr>
          <w:rFonts w:hint="eastAsia" w:ascii="仿宋_GB2312" w:eastAsia="仿宋_GB2312"/>
          <w:sz w:val="28"/>
          <w:szCs w:val="28"/>
          <w:lang w:val="en-US" w:eastAsia="zh-CN"/>
        </w:rPr>
        <w:t>0.2</w:t>
      </w:r>
      <w:r>
        <w:rPr>
          <w:rFonts w:hint="eastAsia" w:ascii="仿宋_GB2312" w:eastAsia="仿宋_GB2312"/>
          <w:sz w:val="28"/>
          <w:szCs w:val="28"/>
        </w:rPr>
        <w:t>万元。主要原因：</w:t>
      </w:r>
      <w:r>
        <w:rPr>
          <w:rFonts w:hint="eastAsia" w:ascii="仿宋_GB2312" w:hAnsi="Times New Roman" w:eastAsia="仿宋_GB2312" w:cs="Times New Roman"/>
          <w:color w:val="000000"/>
          <w:kern w:val="2"/>
          <w:sz w:val="28"/>
          <w:szCs w:val="28"/>
          <w:lang w:val="en-US" w:eastAsia="zh-CN" w:bidi="ar"/>
        </w:rPr>
        <w:t>本年度无公务接待支出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年度公务接待费主要用于</w:t>
      </w:r>
      <w:r>
        <w:rPr>
          <w:rFonts w:hint="eastAsia" w:ascii="仿宋_GB2312" w:hAnsi="Times New Roman" w:eastAsia="仿宋_GB2312" w:cs="Times New Roman"/>
          <w:kern w:val="2"/>
          <w:sz w:val="28"/>
          <w:szCs w:val="28"/>
          <w:lang w:val="en-US" w:eastAsia="zh-CN" w:bidi="ar"/>
        </w:rPr>
        <w:t>公务接待事项</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cs="Times New Roman"/>
          <w:kern w:val="2"/>
          <w:sz w:val="28"/>
          <w:szCs w:val="28"/>
          <w:lang w:val="en-US" w:eastAsia="zh-CN" w:bidi="ar"/>
        </w:rPr>
        <w:t>2.17</w:t>
      </w:r>
      <w:r>
        <w:rPr>
          <w:rFonts w:hint="eastAsia" w:ascii="仿宋_GB2312" w:eastAsia="仿宋_GB2312"/>
          <w:sz w:val="28"/>
          <w:szCs w:val="28"/>
        </w:rPr>
        <w:t>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5.4</w:t>
      </w:r>
      <w:r>
        <w:rPr>
          <w:rFonts w:hint="eastAsia" w:ascii="仿宋_GB2312" w:eastAsia="仿宋_GB2312"/>
          <w:sz w:val="28"/>
          <w:szCs w:val="28"/>
        </w:rPr>
        <w:t>万</w:t>
      </w:r>
      <w:r>
        <w:rPr>
          <w:rFonts w:hint="eastAsia" w:ascii="仿宋_GB2312" w:eastAsia="仿宋_GB2312"/>
          <w:sz w:val="28"/>
          <w:szCs w:val="28"/>
          <w:highlight w:val="none"/>
        </w:rPr>
        <w:t>元</w:t>
      </w:r>
      <w:r>
        <w:rPr>
          <w:rFonts w:hint="eastAsia" w:ascii="仿宋_GB2312" w:eastAsia="仿宋_GB2312"/>
          <w:sz w:val="28"/>
          <w:szCs w:val="28"/>
          <w:highlight w:val="none"/>
          <w:lang w:eastAsia="zh-CN"/>
        </w:rPr>
        <w:t>减少</w:t>
      </w:r>
      <w:r>
        <w:rPr>
          <w:rFonts w:hint="eastAsia" w:ascii="仿宋_GB2312" w:eastAsia="仿宋_GB2312"/>
          <w:sz w:val="28"/>
          <w:szCs w:val="28"/>
          <w:highlight w:val="none"/>
          <w:lang w:val="en-US" w:eastAsia="zh-CN"/>
        </w:rPr>
        <w:t>3.23</w:t>
      </w:r>
      <w:r>
        <w:rPr>
          <w:rFonts w:hint="eastAsia" w:ascii="仿宋_GB2312" w:eastAsia="仿宋_GB2312"/>
          <w:sz w:val="28"/>
          <w:szCs w:val="28"/>
          <w:highlight w:val="none"/>
        </w:rPr>
        <w:t>万元。</w:t>
      </w:r>
      <w:r>
        <w:rPr>
          <w:rFonts w:hint="eastAsia" w:ascii="仿宋_GB2312" w:eastAsia="仿宋_GB2312"/>
          <w:sz w:val="28"/>
          <w:szCs w:val="28"/>
        </w:rPr>
        <w:t>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cs="Times New Roman"/>
          <w:kern w:val="2"/>
          <w:sz w:val="28"/>
          <w:szCs w:val="28"/>
          <w:lang w:val="en-US" w:eastAsia="zh-CN" w:bidi="ar"/>
        </w:rPr>
        <w:t>0</w:t>
      </w:r>
      <w:r>
        <w:rPr>
          <w:rFonts w:hint="eastAsia" w:ascii="仿宋_GB2312" w:eastAsia="仿宋_GB2312"/>
          <w:sz w:val="28"/>
          <w:szCs w:val="28"/>
        </w:rPr>
        <w:t>万元，主要原因：</w:t>
      </w:r>
      <w:r>
        <w:rPr>
          <w:rFonts w:hint="eastAsia" w:ascii="仿宋_GB2312" w:hAnsi="Times New Roman" w:eastAsia="仿宋_GB2312" w:cs="Times New Roman"/>
          <w:kern w:val="2"/>
          <w:sz w:val="28"/>
          <w:szCs w:val="28"/>
          <w:lang w:val="en-US" w:eastAsia="zh-CN" w:bidi="ar"/>
        </w:rPr>
        <w:t>本年度新购车辆</w:t>
      </w:r>
      <w:r>
        <w:rPr>
          <w:rFonts w:hint="eastAsia" w:ascii="仿宋_GB2312" w:eastAsia="仿宋_GB2312" w:cs="Times New Roman"/>
          <w:kern w:val="2"/>
          <w:sz w:val="28"/>
          <w:szCs w:val="28"/>
          <w:lang w:val="en-US" w:eastAsia="zh-CN" w:bidi="ar"/>
        </w:rPr>
        <w:t>0</w:t>
      </w:r>
      <w:r>
        <w:rPr>
          <w:rFonts w:hint="eastAsia" w:ascii="仿宋_GB2312" w:hAnsi="Times New Roman" w:eastAsia="仿宋_GB2312" w:cs="Times New Roman"/>
          <w:kern w:val="2"/>
          <w:sz w:val="28"/>
          <w:szCs w:val="28"/>
          <w:lang w:val="en-US" w:eastAsia="zh-CN" w:bidi="ar"/>
        </w:rPr>
        <w:t>辆</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w:t>
      </w:r>
      <w:r>
        <w:rPr>
          <w:rFonts w:hint="eastAsia" w:ascii="仿宋_GB2312" w:eastAsia="仿宋_GB2312"/>
          <w:sz w:val="28"/>
          <w:szCs w:val="28"/>
          <w:lang w:val="en-US"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cs="Times New Roman"/>
          <w:kern w:val="2"/>
          <w:sz w:val="28"/>
          <w:szCs w:val="28"/>
          <w:lang w:val="en-US" w:eastAsia="zh-CN" w:bidi="ar"/>
        </w:rPr>
        <w:t>2.17</w:t>
      </w:r>
      <w:r>
        <w:rPr>
          <w:rFonts w:hint="eastAsia" w:ascii="仿宋_GB2312" w:eastAsia="仿宋_GB2312"/>
          <w:sz w:val="28"/>
          <w:szCs w:val="28"/>
        </w:rPr>
        <w:t>万元，比2024年度年初预算数5.4万元减少3.23万元</w:t>
      </w:r>
      <w:r>
        <w:rPr>
          <w:rFonts w:hint="eastAsia" w:ascii="仿宋_GB2312" w:eastAsia="仿宋_GB2312"/>
          <w:sz w:val="28"/>
          <w:szCs w:val="28"/>
          <w:lang w:eastAsia="zh-CN"/>
        </w:rPr>
        <w:t>。</w:t>
      </w:r>
      <w:r>
        <w:rPr>
          <w:rFonts w:hint="eastAsia" w:ascii="仿宋_GB2312" w:eastAsia="仿宋_GB2312"/>
          <w:sz w:val="28"/>
          <w:szCs w:val="28"/>
        </w:rPr>
        <w:t>主要原因：</w:t>
      </w:r>
      <w:r>
        <w:rPr>
          <w:rFonts w:hint="eastAsia" w:ascii="仿宋_GB2312" w:hAnsi="Times New Roman" w:eastAsia="仿宋_GB2312" w:cs="Times New Roman"/>
          <w:color w:val="000000"/>
          <w:kern w:val="2"/>
          <w:sz w:val="28"/>
          <w:szCs w:val="28"/>
          <w:lang w:val="en-US" w:eastAsia="zh-CN" w:bidi="ar"/>
        </w:rPr>
        <w:t>原因是严格落实公务用车使用规定，认真贯彻厉行节约反对浪费的有关要求，本着节俭高效的原则,进一步加强公务用车管理,减少费用支出</w:t>
      </w:r>
      <w:r>
        <w:rPr>
          <w:rFonts w:hint="eastAsia" w:ascii="仿宋_GB2312" w:eastAsia="仿宋_GB2312" w:cs="Times New Roman"/>
          <w:color w:val="000000"/>
          <w:kern w:val="2"/>
          <w:sz w:val="28"/>
          <w:szCs w:val="28"/>
          <w:lang w:val="en-US" w:eastAsia="zh-CN" w:bidi="ar"/>
        </w:rPr>
        <w:t>。</w:t>
      </w:r>
      <w:bookmarkStart w:id="0" w:name="_GoBack"/>
      <w:bookmarkEnd w:id="0"/>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hint="eastAsia" w:ascii="仿宋_GB2312" w:eastAsia="仿宋_GB2312"/>
          <w:sz w:val="28"/>
          <w:szCs w:val="28"/>
          <w:lang w:val="en-US" w:eastAsia="zh-CN"/>
        </w:rPr>
        <w:t>2</w:t>
      </w:r>
      <w:r>
        <w:rPr>
          <w:rFonts w:hint="eastAsia" w:ascii="仿宋_GB2312" w:eastAsia="仿宋_GB2312"/>
          <w:sz w:val="28"/>
          <w:szCs w:val="28"/>
        </w:rPr>
        <w:t>辆。</w:t>
      </w:r>
    </w:p>
    <w:p>
      <w:pPr>
        <w:spacing w:line="560" w:lineRule="exact"/>
        <w:ind w:firstLine="560" w:firstLineChars="200"/>
        <w:rPr>
          <w:rFonts w:hint="eastAsia" w:ascii="仿宋_GB2312" w:eastAsia="仿宋_GB2312"/>
          <w:sz w:val="28"/>
          <w:szCs w:val="28"/>
          <w:highlight w:val="yellow"/>
        </w:rPr>
      </w:pP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0</w:t>
      </w:r>
      <w:r>
        <w:rPr>
          <w:rFonts w:hint="eastAsia" w:ascii="仿宋_GB2312" w:eastAsia="仿宋_GB2312"/>
          <w:sz w:val="28"/>
          <w:szCs w:val="28"/>
        </w:rPr>
        <w:t>万元。</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329.61</w:t>
      </w:r>
      <w:r>
        <w:rPr>
          <w:rFonts w:hint="eastAsia" w:ascii="仿宋_GB2312" w:eastAsia="仿宋_GB2312"/>
          <w:sz w:val="28"/>
          <w:szCs w:val="28"/>
        </w:rPr>
        <w:t>万元，其中：政府采购货物支出3.79万元，政府采购工程支出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万元，政府采购服务支出325.8</w:t>
      </w:r>
      <w:r>
        <w:rPr>
          <w:rFonts w:hint="eastAsia" w:ascii="仿宋_GB2312" w:eastAsia="仿宋_GB2312"/>
          <w:sz w:val="28"/>
          <w:szCs w:val="28"/>
          <w:lang w:val="en-US" w:eastAsia="zh-CN"/>
        </w:rPr>
        <w:t>2</w:t>
      </w:r>
      <w:r>
        <w:rPr>
          <w:rFonts w:hint="eastAsia" w:ascii="仿宋_GB2312" w:eastAsia="仿宋_GB2312"/>
          <w:sz w:val="28"/>
          <w:szCs w:val="28"/>
        </w:rPr>
        <w:t>万元。授予中小企业合同金额</w:t>
      </w:r>
      <w:r>
        <w:rPr>
          <w:rFonts w:ascii="仿宋_GB2312" w:eastAsia="仿宋_GB2312"/>
          <w:sz w:val="28"/>
          <w:szCs w:val="28"/>
        </w:rPr>
        <w:t>328.45</w:t>
      </w:r>
      <w:r>
        <w:rPr>
          <w:rFonts w:hint="eastAsia" w:ascii="仿宋_GB2312" w:eastAsia="仿宋_GB2312"/>
          <w:sz w:val="28"/>
          <w:szCs w:val="28"/>
        </w:rPr>
        <w:t>万元，占政府采购支出总额的</w:t>
      </w:r>
      <w:r>
        <w:rPr>
          <w:rFonts w:hint="eastAsia" w:ascii="仿宋_GB2312" w:eastAsia="仿宋_GB2312"/>
          <w:sz w:val="28"/>
          <w:szCs w:val="28"/>
          <w:lang w:eastAsia="zh-CN"/>
        </w:rPr>
        <w:t>99.65</w:t>
      </w:r>
      <w:r>
        <w:rPr>
          <w:rFonts w:hint="eastAsia" w:ascii="仿宋_GB2312" w:eastAsia="仿宋_GB2312"/>
          <w:sz w:val="28"/>
          <w:szCs w:val="28"/>
        </w:rPr>
        <w:t>%，其中：授予小微企业合同金额</w:t>
      </w:r>
      <w:r>
        <w:rPr>
          <w:rFonts w:ascii="仿宋_GB2312" w:eastAsia="仿宋_GB2312"/>
          <w:sz w:val="28"/>
          <w:szCs w:val="28"/>
        </w:rPr>
        <w:t>156.08</w:t>
      </w:r>
      <w:r>
        <w:rPr>
          <w:rFonts w:hint="eastAsia" w:ascii="仿宋_GB2312" w:eastAsia="仿宋_GB2312"/>
          <w:sz w:val="28"/>
          <w:szCs w:val="28"/>
        </w:rPr>
        <w:t>万元，占政府采购支出总额的</w:t>
      </w:r>
      <w:r>
        <w:rPr>
          <w:rFonts w:ascii="仿宋_GB2312" w:eastAsia="仿宋_GB2312"/>
          <w:sz w:val="28"/>
          <w:szCs w:val="28"/>
        </w:rPr>
        <w:t>47.35</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12月31日，北京市大兴区青云店镇中心幼儿园</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2</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rPr>
        <w:t>.教育支出（类）普通教育（款）</w:t>
      </w:r>
      <w:r>
        <w:rPr>
          <w:rFonts w:hint="eastAsia" w:ascii="仿宋_GB2312" w:eastAsia="仿宋_GB2312"/>
          <w:sz w:val="28"/>
          <w:szCs w:val="28"/>
          <w:lang w:val="en-US" w:eastAsia="zh-CN"/>
        </w:rPr>
        <w:t>学前</w:t>
      </w:r>
      <w:r>
        <w:rPr>
          <w:rFonts w:hint="eastAsia" w:ascii="仿宋_GB2312" w:eastAsia="仿宋_GB2312"/>
          <w:sz w:val="28"/>
          <w:szCs w:val="28"/>
        </w:rPr>
        <w:t>教育（项）：反映各部门举办的</w:t>
      </w:r>
      <w:r>
        <w:rPr>
          <w:rFonts w:hint="eastAsia" w:ascii="仿宋_GB2312" w:eastAsia="仿宋_GB2312"/>
          <w:sz w:val="28"/>
          <w:szCs w:val="28"/>
          <w:lang w:val="en-US" w:eastAsia="zh-CN"/>
        </w:rPr>
        <w:t>学前</w:t>
      </w:r>
      <w:r>
        <w:rPr>
          <w:rFonts w:hint="eastAsia" w:ascii="仿宋_GB2312" w:eastAsia="仿宋_GB2312"/>
          <w:sz w:val="28"/>
          <w:szCs w:val="28"/>
        </w:rPr>
        <w:t>教育支出。政府各部门对社会组织等举办的</w:t>
      </w:r>
      <w:r>
        <w:rPr>
          <w:rFonts w:hint="eastAsia" w:ascii="仿宋_GB2312" w:eastAsia="仿宋_GB2312"/>
          <w:sz w:val="28"/>
          <w:szCs w:val="28"/>
          <w:lang w:val="en-US" w:eastAsia="zh-CN"/>
        </w:rPr>
        <w:t>幼儿园</w:t>
      </w:r>
      <w:r>
        <w:rPr>
          <w:rFonts w:hint="eastAsia" w:ascii="仿宋_GB2312" w:eastAsia="仿宋_GB2312"/>
          <w:sz w:val="28"/>
          <w:szCs w:val="28"/>
        </w:rPr>
        <w:t>的资助，如捐赠、补贴等，也在本科目中反映。</w:t>
      </w:r>
    </w:p>
    <w:p>
      <w:pPr>
        <w:ind w:firstLine="420" w:firstLineChars="150"/>
        <w:rPr>
          <w:rFonts w:ascii="仿宋_GB2312" w:eastAsia="仿宋_GB2312"/>
          <w:sz w:val="28"/>
          <w:szCs w:val="28"/>
        </w:rPr>
      </w:pPr>
      <w:r>
        <w:rPr>
          <w:rFonts w:hint="eastAsia" w:ascii="仿宋_GB2312" w:eastAsia="仿宋_GB2312"/>
          <w:sz w:val="28"/>
          <w:szCs w:val="28"/>
          <w:lang w:val="en-US" w:eastAsia="zh-CN"/>
        </w:rPr>
        <w:t>8</w:t>
      </w:r>
      <w:r>
        <w:rPr>
          <w:rFonts w:hint="eastAsia" w:ascii="仿宋_GB2312" w:eastAsia="仿宋_GB2312"/>
          <w:sz w:val="28"/>
          <w:szCs w:val="28"/>
        </w:rPr>
        <w:t>.社会保障和就业支出（类）行政事业单位养老支出（款）事业单位离退休（项）：反映事业单位开支的离退休经费。</w:t>
      </w:r>
    </w:p>
    <w:p>
      <w:pPr>
        <w:ind w:firstLine="420" w:firstLineChars="150"/>
        <w:rPr>
          <w:rFonts w:ascii="仿宋_GB2312" w:eastAsia="仿宋_GB2312"/>
          <w:sz w:val="28"/>
          <w:szCs w:val="28"/>
        </w:rPr>
      </w:pPr>
      <w:r>
        <w:rPr>
          <w:rFonts w:hint="eastAsia" w:ascii="仿宋_GB2312" w:eastAsia="仿宋_GB2312"/>
          <w:sz w:val="28"/>
          <w:szCs w:val="28"/>
          <w:lang w:val="en-US" w:eastAsia="zh-CN"/>
        </w:rPr>
        <w:t>9</w:t>
      </w:r>
      <w:r>
        <w:rPr>
          <w:rFonts w:hint="eastAsia" w:ascii="仿宋_GB2312" w:eastAsia="仿宋_GB2312"/>
          <w:sz w:val="28"/>
          <w:szCs w:val="28"/>
        </w:rPr>
        <w:t>.社会保障和就业支出（类）行政事业单位养老支出（款）机关事业单位基本养老保险缴费支出（项）：反映机关事业单位实施养老保险制度由单位缴纳的基本养老保险费支出。</w:t>
      </w:r>
    </w:p>
    <w:p>
      <w:pPr>
        <w:ind w:firstLine="420" w:firstLineChars="150"/>
        <w:rPr>
          <w:rFonts w:ascii="仿宋_GB2312" w:eastAsia="仿宋_GB2312"/>
          <w:sz w:val="28"/>
          <w:szCs w:val="28"/>
        </w:rPr>
      </w:pPr>
      <w:r>
        <w:rPr>
          <w:rFonts w:hint="eastAsia" w:ascii="仿宋_GB2312" w:eastAsia="仿宋_GB2312"/>
          <w:sz w:val="28"/>
          <w:szCs w:val="28"/>
          <w:lang w:val="en-US" w:eastAsia="zh-CN"/>
        </w:rPr>
        <w:t>10</w:t>
      </w: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w:t>
      </w:r>
    </w:p>
    <w:p>
      <w:pPr>
        <w:ind w:firstLine="420" w:firstLineChars="150"/>
        <w:rPr>
          <w:rFonts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1</w:t>
      </w:r>
      <w:r>
        <w:rPr>
          <w:rFonts w:hint="eastAsia" w:ascii="仿宋_GB2312" w:eastAsia="仿宋_GB2312"/>
          <w:sz w:val="28"/>
          <w:szCs w:val="28"/>
        </w:rPr>
        <w:t>.社会保障和就业支出（类）行政事业单位养老支出（款）其他行政事业单位养老支出（项）：反映除上述项目以外其他用于行政事业单位养老方面的支出。</w:t>
      </w:r>
    </w:p>
    <w:p>
      <w:pPr>
        <w:ind w:firstLine="420" w:firstLineChars="150"/>
        <w:rPr>
          <w:rFonts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2</w:t>
      </w: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国家规定享受离退休人员待遇的医疗经费。</w:t>
      </w:r>
    </w:p>
    <w:p>
      <w:pPr>
        <w:ind w:firstLine="420" w:firstLineChars="150"/>
        <w:rPr>
          <w:rFonts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3</w:t>
      </w:r>
      <w:r>
        <w:rPr>
          <w:rFonts w:hint="eastAsia" w:ascii="仿宋_GB2312" w:eastAsia="仿宋_GB2312"/>
          <w:sz w:val="28"/>
          <w:szCs w:val="28"/>
        </w:rPr>
        <w:t>.卫生健康支出（类）行政事业单位医疗（款）公务员医疗补助（项）：反映财政部门安排的公务员医疗补助经费。</w:t>
      </w:r>
    </w:p>
    <w:p>
      <w:pPr>
        <w:ind w:firstLine="420" w:firstLineChars="150"/>
        <w:rPr>
          <w:rFonts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4</w:t>
      </w:r>
      <w:r>
        <w:rPr>
          <w:rFonts w:ascii="仿宋_GB2312" w:eastAsia="仿宋_GB2312"/>
          <w:sz w:val="28"/>
          <w:szCs w:val="28"/>
        </w:rPr>
        <w:t>.</w:t>
      </w:r>
      <w:r>
        <w:rPr>
          <w:rFonts w:hint="eastAsia" w:ascii="仿宋_GB2312" w:eastAsia="仿宋_GB2312"/>
          <w:sz w:val="28"/>
          <w:szCs w:val="28"/>
        </w:rPr>
        <w:t>节能环保支出（类）污染防治（款）大气（项）：反应政府在治理空气污染、汽车尾气、酸雨、二氧化碳、沙尘暴等方面的支出。</w:t>
      </w:r>
    </w:p>
    <w:p>
      <w:pPr>
        <w:ind w:firstLine="420" w:firstLineChars="150"/>
        <w:rPr>
          <w:rFonts w:ascii="黑体" w:eastAsia="黑体"/>
          <w:sz w:val="32"/>
          <w:szCs w:val="32"/>
        </w:rPr>
      </w:pPr>
      <w:r>
        <w:rPr>
          <w:rFonts w:ascii="仿宋_GB2312" w:eastAsia="仿宋_GB2312"/>
          <w:sz w:val="28"/>
          <w:szCs w:val="28"/>
        </w:rPr>
        <w:t>1</w:t>
      </w:r>
      <w:r>
        <w:rPr>
          <w:rFonts w:hint="eastAsia" w:ascii="仿宋_GB2312" w:eastAsia="仿宋_GB2312"/>
          <w:sz w:val="28"/>
          <w:szCs w:val="28"/>
          <w:lang w:val="en-US" w:eastAsia="zh-CN"/>
        </w:rPr>
        <w:t>5</w:t>
      </w:r>
      <w:r>
        <w:rPr>
          <w:rFonts w:ascii="仿宋_GB2312" w:eastAsia="仿宋_GB2312"/>
          <w:sz w:val="28"/>
          <w:szCs w:val="28"/>
        </w:rPr>
        <w:t>.</w:t>
      </w:r>
      <w:r>
        <w:rPr>
          <w:rFonts w:hint="eastAsia" w:ascii="仿宋_GB2312" w:eastAsia="仿宋_GB2312"/>
          <w:sz w:val="28"/>
          <w:szCs w:val="28"/>
        </w:rPr>
        <w:t>住房保障支出（类）住房改革支出（款）购房补贴（项）：反应按房改政策规定，行政事业单位向符合条件职工（含离退休人员）、军队（含武警）向转役复员离退休人员发放的用于购买住房的补贴。</w:t>
      </w:r>
    </w:p>
    <w:p>
      <w:pPr>
        <w:tabs>
          <w:tab w:val="center" w:pos="6979"/>
        </w:tabs>
        <w:spacing w:before="156" w:beforeLines="50" w:after="156" w:afterLines="50"/>
        <w:jc w:val="center"/>
        <w:rPr>
          <w:rFonts w:ascii="宋体" w:hAnsi="宋体" w:cs="宋体"/>
          <w:b/>
          <w:bCs/>
          <w:spacing w:val="40"/>
          <w:kern w:val="0"/>
          <w:sz w:val="32"/>
          <w:szCs w:val="32"/>
        </w:rPr>
      </w:pPr>
    </w:p>
    <w:p>
      <w:pPr>
        <w:jc w:val="both"/>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2"/>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F0F4FD0D"/>
    <w:multiLevelType w:val="singleLevel"/>
    <w:tmpl w:val="F0F4FD0D"/>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1C1"/>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55DF0"/>
    <w:rsid w:val="0076101C"/>
    <w:rsid w:val="00763D87"/>
    <w:rsid w:val="007670B2"/>
    <w:rsid w:val="00771795"/>
    <w:rsid w:val="00774925"/>
    <w:rsid w:val="0078768E"/>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3B0DE8"/>
    <w:rsid w:val="015123B9"/>
    <w:rsid w:val="01F80A87"/>
    <w:rsid w:val="01FD42EF"/>
    <w:rsid w:val="020967F0"/>
    <w:rsid w:val="02145195"/>
    <w:rsid w:val="02447828"/>
    <w:rsid w:val="02A62291"/>
    <w:rsid w:val="02F120AB"/>
    <w:rsid w:val="02FF7BF3"/>
    <w:rsid w:val="032B5196"/>
    <w:rsid w:val="033F6241"/>
    <w:rsid w:val="03B64756"/>
    <w:rsid w:val="046E5030"/>
    <w:rsid w:val="0490144A"/>
    <w:rsid w:val="04AA0920"/>
    <w:rsid w:val="04C3537C"/>
    <w:rsid w:val="05123C0E"/>
    <w:rsid w:val="05BE1FE7"/>
    <w:rsid w:val="06035C4C"/>
    <w:rsid w:val="064047AA"/>
    <w:rsid w:val="06431415"/>
    <w:rsid w:val="06BA455D"/>
    <w:rsid w:val="06BD5DFB"/>
    <w:rsid w:val="070752C8"/>
    <w:rsid w:val="075C1AB8"/>
    <w:rsid w:val="079004AC"/>
    <w:rsid w:val="07AF7E3A"/>
    <w:rsid w:val="07B23486"/>
    <w:rsid w:val="081536FE"/>
    <w:rsid w:val="08C60333"/>
    <w:rsid w:val="091A6E51"/>
    <w:rsid w:val="09842C00"/>
    <w:rsid w:val="09D1654B"/>
    <w:rsid w:val="09D9119E"/>
    <w:rsid w:val="0A4707FD"/>
    <w:rsid w:val="0AD23916"/>
    <w:rsid w:val="0B291CB1"/>
    <w:rsid w:val="0B6E3B68"/>
    <w:rsid w:val="0BA148CA"/>
    <w:rsid w:val="0BA31A63"/>
    <w:rsid w:val="0BA457DB"/>
    <w:rsid w:val="0C104C1F"/>
    <w:rsid w:val="0C1165C4"/>
    <w:rsid w:val="0C7043B9"/>
    <w:rsid w:val="0C767178"/>
    <w:rsid w:val="0CB437FC"/>
    <w:rsid w:val="0CC04897"/>
    <w:rsid w:val="0D562B05"/>
    <w:rsid w:val="0D6D544B"/>
    <w:rsid w:val="0DC34C5E"/>
    <w:rsid w:val="0DD136FE"/>
    <w:rsid w:val="0DED346A"/>
    <w:rsid w:val="0E572FD9"/>
    <w:rsid w:val="0E5B6625"/>
    <w:rsid w:val="0E65486B"/>
    <w:rsid w:val="0E6F0323"/>
    <w:rsid w:val="0EA24254"/>
    <w:rsid w:val="0EBB5316"/>
    <w:rsid w:val="0EC95C85"/>
    <w:rsid w:val="0ED85EC8"/>
    <w:rsid w:val="0EE62C1A"/>
    <w:rsid w:val="0F542F2C"/>
    <w:rsid w:val="0F8E2C57"/>
    <w:rsid w:val="0FC14BAE"/>
    <w:rsid w:val="0FFE48B0"/>
    <w:rsid w:val="1059665E"/>
    <w:rsid w:val="10667503"/>
    <w:rsid w:val="10AC13BA"/>
    <w:rsid w:val="10F92125"/>
    <w:rsid w:val="12B74046"/>
    <w:rsid w:val="12ED7A68"/>
    <w:rsid w:val="131E7C21"/>
    <w:rsid w:val="13B3480E"/>
    <w:rsid w:val="13CE33F5"/>
    <w:rsid w:val="144162BD"/>
    <w:rsid w:val="145A6C1B"/>
    <w:rsid w:val="14943739"/>
    <w:rsid w:val="14B73493"/>
    <w:rsid w:val="14BA1BCC"/>
    <w:rsid w:val="14C64A14"/>
    <w:rsid w:val="152B7101"/>
    <w:rsid w:val="156C736A"/>
    <w:rsid w:val="157E0E4B"/>
    <w:rsid w:val="158F3058"/>
    <w:rsid w:val="1618304E"/>
    <w:rsid w:val="161A6DC6"/>
    <w:rsid w:val="167A2FF9"/>
    <w:rsid w:val="17167FED"/>
    <w:rsid w:val="1752433D"/>
    <w:rsid w:val="1764587C"/>
    <w:rsid w:val="17F673BF"/>
    <w:rsid w:val="18581C69"/>
    <w:rsid w:val="18BA4890"/>
    <w:rsid w:val="18BF5A03"/>
    <w:rsid w:val="18FF22A3"/>
    <w:rsid w:val="197B5DCD"/>
    <w:rsid w:val="19FE07AD"/>
    <w:rsid w:val="1AA9305D"/>
    <w:rsid w:val="1AEC0734"/>
    <w:rsid w:val="1BED2887"/>
    <w:rsid w:val="1C4619FB"/>
    <w:rsid w:val="1C7D3C0B"/>
    <w:rsid w:val="1C9D42AD"/>
    <w:rsid w:val="1C9D605B"/>
    <w:rsid w:val="1CD31A7D"/>
    <w:rsid w:val="1CDC1547"/>
    <w:rsid w:val="1CE343B6"/>
    <w:rsid w:val="1D181B85"/>
    <w:rsid w:val="1D6B43AB"/>
    <w:rsid w:val="1D7276BB"/>
    <w:rsid w:val="1D7314D6"/>
    <w:rsid w:val="1DB21FDA"/>
    <w:rsid w:val="1DC046F7"/>
    <w:rsid w:val="1DEF20B0"/>
    <w:rsid w:val="1E6F1C79"/>
    <w:rsid w:val="1E7B3054"/>
    <w:rsid w:val="1E90231B"/>
    <w:rsid w:val="1F721A21"/>
    <w:rsid w:val="1FE3647B"/>
    <w:rsid w:val="1FF7AB17"/>
    <w:rsid w:val="2019376E"/>
    <w:rsid w:val="20B120D5"/>
    <w:rsid w:val="20CB5FE7"/>
    <w:rsid w:val="212C5BFF"/>
    <w:rsid w:val="214243FA"/>
    <w:rsid w:val="21AD613C"/>
    <w:rsid w:val="21C61BB0"/>
    <w:rsid w:val="22467189"/>
    <w:rsid w:val="2297354C"/>
    <w:rsid w:val="22E4522A"/>
    <w:rsid w:val="232E3EB1"/>
    <w:rsid w:val="233B037C"/>
    <w:rsid w:val="238E2BA1"/>
    <w:rsid w:val="242332EA"/>
    <w:rsid w:val="24736413"/>
    <w:rsid w:val="24D36BFC"/>
    <w:rsid w:val="257A14F5"/>
    <w:rsid w:val="25951FC5"/>
    <w:rsid w:val="25E1520A"/>
    <w:rsid w:val="26192BF6"/>
    <w:rsid w:val="26795443"/>
    <w:rsid w:val="26976213"/>
    <w:rsid w:val="26B50445"/>
    <w:rsid w:val="27196C26"/>
    <w:rsid w:val="274C0DA9"/>
    <w:rsid w:val="27F21CAC"/>
    <w:rsid w:val="283425F5"/>
    <w:rsid w:val="284877C3"/>
    <w:rsid w:val="284B1061"/>
    <w:rsid w:val="28B05368"/>
    <w:rsid w:val="28B27332"/>
    <w:rsid w:val="295C2DFA"/>
    <w:rsid w:val="29C72969"/>
    <w:rsid w:val="29D55086"/>
    <w:rsid w:val="29E90B31"/>
    <w:rsid w:val="29EF086F"/>
    <w:rsid w:val="2A66694D"/>
    <w:rsid w:val="2A9E122B"/>
    <w:rsid w:val="2AA42CAA"/>
    <w:rsid w:val="2AED4651"/>
    <w:rsid w:val="2AEE42AE"/>
    <w:rsid w:val="2B004385"/>
    <w:rsid w:val="2B02634F"/>
    <w:rsid w:val="2B807273"/>
    <w:rsid w:val="2B836D64"/>
    <w:rsid w:val="2BC34C59"/>
    <w:rsid w:val="2BD61589"/>
    <w:rsid w:val="2C9D1721"/>
    <w:rsid w:val="2D746964"/>
    <w:rsid w:val="2D7822FD"/>
    <w:rsid w:val="2DEC6E42"/>
    <w:rsid w:val="2E026666"/>
    <w:rsid w:val="2E4722CA"/>
    <w:rsid w:val="2EFFE297"/>
    <w:rsid w:val="2F3530CD"/>
    <w:rsid w:val="2F522CD5"/>
    <w:rsid w:val="2F990904"/>
    <w:rsid w:val="2FBB2F70"/>
    <w:rsid w:val="2FC040E2"/>
    <w:rsid w:val="301437CA"/>
    <w:rsid w:val="304545E8"/>
    <w:rsid w:val="30C47C02"/>
    <w:rsid w:val="30EE2ED1"/>
    <w:rsid w:val="3139239E"/>
    <w:rsid w:val="31F664E1"/>
    <w:rsid w:val="32496611"/>
    <w:rsid w:val="32D22AAA"/>
    <w:rsid w:val="32FD564D"/>
    <w:rsid w:val="33FB1B8D"/>
    <w:rsid w:val="342804A8"/>
    <w:rsid w:val="344423B0"/>
    <w:rsid w:val="349D1F0A"/>
    <w:rsid w:val="34AC10D9"/>
    <w:rsid w:val="34DD0473"/>
    <w:rsid w:val="355A0B35"/>
    <w:rsid w:val="357A4D33"/>
    <w:rsid w:val="359A7184"/>
    <w:rsid w:val="35D07049"/>
    <w:rsid w:val="35E03235"/>
    <w:rsid w:val="36225F65"/>
    <w:rsid w:val="36653C36"/>
    <w:rsid w:val="36EC3A0F"/>
    <w:rsid w:val="374B2E2B"/>
    <w:rsid w:val="37BF7375"/>
    <w:rsid w:val="380A4A95"/>
    <w:rsid w:val="398E0DAD"/>
    <w:rsid w:val="39ED57E1"/>
    <w:rsid w:val="3A8E35DC"/>
    <w:rsid w:val="3AA20FB4"/>
    <w:rsid w:val="3AC3717D"/>
    <w:rsid w:val="3B581673"/>
    <w:rsid w:val="3BD86275"/>
    <w:rsid w:val="3BDB4052"/>
    <w:rsid w:val="3C684897"/>
    <w:rsid w:val="3C727817"/>
    <w:rsid w:val="3CF90F77"/>
    <w:rsid w:val="3D09356D"/>
    <w:rsid w:val="3D43055D"/>
    <w:rsid w:val="3D711112"/>
    <w:rsid w:val="3D8175A7"/>
    <w:rsid w:val="3DD1570D"/>
    <w:rsid w:val="3E0C4997"/>
    <w:rsid w:val="3E247F32"/>
    <w:rsid w:val="3E2D5039"/>
    <w:rsid w:val="3E391C63"/>
    <w:rsid w:val="3E5500EC"/>
    <w:rsid w:val="3E8A248B"/>
    <w:rsid w:val="3F0044FB"/>
    <w:rsid w:val="3F285800"/>
    <w:rsid w:val="3F786788"/>
    <w:rsid w:val="3FB84DD6"/>
    <w:rsid w:val="3FD634AE"/>
    <w:rsid w:val="3FF37BBC"/>
    <w:rsid w:val="40063D93"/>
    <w:rsid w:val="40297A82"/>
    <w:rsid w:val="40404565"/>
    <w:rsid w:val="40442B0E"/>
    <w:rsid w:val="405C7E57"/>
    <w:rsid w:val="40955117"/>
    <w:rsid w:val="41377F7D"/>
    <w:rsid w:val="41686388"/>
    <w:rsid w:val="41766110"/>
    <w:rsid w:val="41857B40"/>
    <w:rsid w:val="41C21F3C"/>
    <w:rsid w:val="41E51A4C"/>
    <w:rsid w:val="42352655"/>
    <w:rsid w:val="42641246"/>
    <w:rsid w:val="433E495C"/>
    <w:rsid w:val="43803E5D"/>
    <w:rsid w:val="44CD4E80"/>
    <w:rsid w:val="44E64193"/>
    <w:rsid w:val="457F1EF2"/>
    <w:rsid w:val="459040FF"/>
    <w:rsid w:val="45FB3C6E"/>
    <w:rsid w:val="46800150"/>
    <w:rsid w:val="46B300A5"/>
    <w:rsid w:val="472114B3"/>
    <w:rsid w:val="47A911FF"/>
    <w:rsid w:val="47D159DD"/>
    <w:rsid w:val="47E32C0C"/>
    <w:rsid w:val="480A1F47"/>
    <w:rsid w:val="482E20D9"/>
    <w:rsid w:val="4840005F"/>
    <w:rsid w:val="489F2FD7"/>
    <w:rsid w:val="48A64365"/>
    <w:rsid w:val="48F50D38"/>
    <w:rsid w:val="49415E3C"/>
    <w:rsid w:val="4961028C"/>
    <w:rsid w:val="497A75A0"/>
    <w:rsid w:val="49863D09"/>
    <w:rsid w:val="498E6BA8"/>
    <w:rsid w:val="49A93E2D"/>
    <w:rsid w:val="49CB3958"/>
    <w:rsid w:val="4A031344"/>
    <w:rsid w:val="4A871C1C"/>
    <w:rsid w:val="4A881849"/>
    <w:rsid w:val="4A993A56"/>
    <w:rsid w:val="4AAE12AF"/>
    <w:rsid w:val="4AC27CB3"/>
    <w:rsid w:val="4B296B88"/>
    <w:rsid w:val="4B4B6AFE"/>
    <w:rsid w:val="4B667DDC"/>
    <w:rsid w:val="4BDC67D7"/>
    <w:rsid w:val="4BF4363A"/>
    <w:rsid w:val="4BF72BEF"/>
    <w:rsid w:val="4C5365B2"/>
    <w:rsid w:val="4C6267F5"/>
    <w:rsid w:val="4D072EF9"/>
    <w:rsid w:val="4D155A18"/>
    <w:rsid w:val="4D4128AF"/>
    <w:rsid w:val="4DCB203A"/>
    <w:rsid w:val="4DFA0CB0"/>
    <w:rsid w:val="4DFA2A5E"/>
    <w:rsid w:val="4F1418FD"/>
    <w:rsid w:val="4F50502B"/>
    <w:rsid w:val="4F642884"/>
    <w:rsid w:val="4FA90297"/>
    <w:rsid w:val="4FC11A85"/>
    <w:rsid w:val="4FC1669B"/>
    <w:rsid w:val="4FC41A43"/>
    <w:rsid w:val="4FFC2ABD"/>
    <w:rsid w:val="50357D7D"/>
    <w:rsid w:val="514E22AD"/>
    <w:rsid w:val="519311FF"/>
    <w:rsid w:val="51DB3C59"/>
    <w:rsid w:val="527F1783"/>
    <w:rsid w:val="52AA2CA4"/>
    <w:rsid w:val="52B14033"/>
    <w:rsid w:val="52CA29FF"/>
    <w:rsid w:val="53EC109A"/>
    <w:rsid w:val="547A66A6"/>
    <w:rsid w:val="54E104D3"/>
    <w:rsid w:val="550C0952"/>
    <w:rsid w:val="551663CF"/>
    <w:rsid w:val="556F3D31"/>
    <w:rsid w:val="55762E42"/>
    <w:rsid w:val="55C027DF"/>
    <w:rsid w:val="57917F8F"/>
    <w:rsid w:val="57A7B272"/>
    <w:rsid w:val="582A3F3F"/>
    <w:rsid w:val="58470068"/>
    <w:rsid w:val="58743095"/>
    <w:rsid w:val="58747CAC"/>
    <w:rsid w:val="58C6010C"/>
    <w:rsid w:val="58E97957"/>
    <w:rsid w:val="590F3861"/>
    <w:rsid w:val="592D6EC1"/>
    <w:rsid w:val="593B28A8"/>
    <w:rsid w:val="593C03CE"/>
    <w:rsid w:val="595C281E"/>
    <w:rsid w:val="5A1720F9"/>
    <w:rsid w:val="5A3D61AC"/>
    <w:rsid w:val="5A5654C0"/>
    <w:rsid w:val="5A8B6F17"/>
    <w:rsid w:val="5AED7BD2"/>
    <w:rsid w:val="5B80134A"/>
    <w:rsid w:val="5B8A0C0A"/>
    <w:rsid w:val="5B9C37C2"/>
    <w:rsid w:val="5BA7C654"/>
    <w:rsid w:val="5C311D40"/>
    <w:rsid w:val="5CD01559"/>
    <w:rsid w:val="5D355860"/>
    <w:rsid w:val="5D9C768D"/>
    <w:rsid w:val="5DF716AE"/>
    <w:rsid w:val="5E056FE1"/>
    <w:rsid w:val="5E08087F"/>
    <w:rsid w:val="5E257683"/>
    <w:rsid w:val="5E541D16"/>
    <w:rsid w:val="5E6F213A"/>
    <w:rsid w:val="5ED2780B"/>
    <w:rsid w:val="5EF86B45"/>
    <w:rsid w:val="5F17346F"/>
    <w:rsid w:val="5F245B8C"/>
    <w:rsid w:val="5F3E6C4E"/>
    <w:rsid w:val="5F7A39FE"/>
    <w:rsid w:val="5F9F507E"/>
    <w:rsid w:val="5FE07D05"/>
    <w:rsid w:val="609805E0"/>
    <w:rsid w:val="60A54109"/>
    <w:rsid w:val="60EC67B1"/>
    <w:rsid w:val="611063C8"/>
    <w:rsid w:val="61930DA7"/>
    <w:rsid w:val="61C01D80"/>
    <w:rsid w:val="61C55405"/>
    <w:rsid w:val="61D01CDF"/>
    <w:rsid w:val="62326812"/>
    <w:rsid w:val="62E47B0C"/>
    <w:rsid w:val="63BE65AF"/>
    <w:rsid w:val="641E0DFC"/>
    <w:rsid w:val="645E38EF"/>
    <w:rsid w:val="64C0607C"/>
    <w:rsid w:val="64D21BE7"/>
    <w:rsid w:val="65756C86"/>
    <w:rsid w:val="65BF03BD"/>
    <w:rsid w:val="674D385B"/>
    <w:rsid w:val="676F09E1"/>
    <w:rsid w:val="68262975"/>
    <w:rsid w:val="68424C4D"/>
    <w:rsid w:val="684828EC"/>
    <w:rsid w:val="6860521B"/>
    <w:rsid w:val="68646FFA"/>
    <w:rsid w:val="6902539D"/>
    <w:rsid w:val="69387793"/>
    <w:rsid w:val="69470DF5"/>
    <w:rsid w:val="6A38073E"/>
    <w:rsid w:val="6A4E61B3"/>
    <w:rsid w:val="6ABE6E95"/>
    <w:rsid w:val="6AE461D0"/>
    <w:rsid w:val="6AE508C6"/>
    <w:rsid w:val="6B43383E"/>
    <w:rsid w:val="6B6B003F"/>
    <w:rsid w:val="6B91384B"/>
    <w:rsid w:val="6B945E48"/>
    <w:rsid w:val="6D192AA9"/>
    <w:rsid w:val="6D9D5488"/>
    <w:rsid w:val="6E0F7A08"/>
    <w:rsid w:val="6E3A0F28"/>
    <w:rsid w:val="6E3B6A4F"/>
    <w:rsid w:val="701B6B38"/>
    <w:rsid w:val="7056191E"/>
    <w:rsid w:val="707B75D6"/>
    <w:rsid w:val="70904E30"/>
    <w:rsid w:val="71153587"/>
    <w:rsid w:val="71245578"/>
    <w:rsid w:val="71461992"/>
    <w:rsid w:val="71691990"/>
    <w:rsid w:val="717604C9"/>
    <w:rsid w:val="71793A80"/>
    <w:rsid w:val="71CD20B4"/>
    <w:rsid w:val="72A2709C"/>
    <w:rsid w:val="72A90315"/>
    <w:rsid w:val="7357290B"/>
    <w:rsid w:val="738D38A8"/>
    <w:rsid w:val="73A105D0"/>
    <w:rsid w:val="7456013E"/>
    <w:rsid w:val="74A94712"/>
    <w:rsid w:val="756E3DEA"/>
    <w:rsid w:val="75823F55"/>
    <w:rsid w:val="75B570E6"/>
    <w:rsid w:val="75CA2B92"/>
    <w:rsid w:val="76051E1C"/>
    <w:rsid w:val="762A3631"/>
    <w:rsid w:val="76CF41D8"/>
    <w:rsid w:val="76FB1693"/>
    <w:rsid w:val="77140EAC"/>
    <w:rsid w:val="7715608F"/>
    <w:rsid w:val="77521091"/>
    <w:rsid w:val="782F3180"/>
    <w:rsid w:val="78B11DE7"/>
    <w:rsid w:val="78BB3E42"/>
    <w:rsid w:val="792151BF"/>
    <w:rsid w:val="7924080B"/>
    <w:rsid w:val="79587D66"/>
    <w:rsid w:val="798524E4"/>
    <w:rsid w:val="79927E6B"/>
    <w:rsid w:val="79BE0C60"/>
    <w:rsid w:val="79D0629D"/>
    <w:rsid w:val="7A097A01"/>
    <w:rsid w:val="7A747570"/>
    <w:rsid w:val="7A7F1C49"/>
    <w:rsid w:val="7AE75F94"/>
    <w:rsid w:val="7B1D3764"/>
    <w:rsid w:val="7B5B7AE6"/>
    <w:rsid w:val="7B77189B"/>
    <w:rsid w:val="7B7B6628"/>
    <w:rsid w:val="7BA7071E"/>
    <w:rsid w:val="7BDF6DA8"/>
    <w:rsid w:val="7C232FFC"/>
    <w:rsid w:val="7C7EDC1A"/>
    <w:rsid w:val="7C9537CE"/>
    <w:rsid w:val="7CCED98D"/>
    <w:rsid w:val="7D08410F"/>
    <w:rsid w:val="7D31799A"/>
    <w:rsid w:val="7D845D1C"/>
    <w:rsid w:val="7D9D0B8C"/>
    <w:rsid w:val="7DAF370D"/>
    <w:rsid w:val="7DB96DED"/>
    <w:rsid w:val="7DD3AD81"/>
    <w:rsid w:val="7DD547CA"/>
    <w:rsid w:val="7DD722F0"/>
    <w:rsid w:val="7DFFF77E"/>
    <w:rsid w:val="7E0806FB"/>
    <w:rsid w:val="7E3A287F"/>
    <w:rsid w:val="7F1430D0"/>
    <w:rsid w:val="7F1906E6"/>
    <w:rsid w:val="7F1B26B0"/>
    <w:rsid w:val="7F402117"/>
    <w:rsid w:val="7F53A862"/>
    <w:rsid w:val="7F7FE70F"/>
    <w:rsid w:val="7F855D7C"/>
    <w:rsid w:val="7FDF365A"/>
    <w:rsid w:val="7FEC8BC6"/>
    <w:rsid w:val="7FF13411"/>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character" w:customStyle="1" w:styleId="20">
    <w:name w:val="font51"/>
    <w:basedOn w:val="11"/>
    <w:qFormat/>
    <w:uiPriority w:val="0"/>
    <w:rPr>
      <w:rFonts w:hint="eastAsia" w:ascii="宋体" w:hAnsi="宋体" w:eastAsia="宋体" w:cs="宋体"/>
      <w:color w:val="000000"/>
      <w:sz w:val="13"/>
      <w:szCs w:val="13"/>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4" Type="http://schemas.microsoft.com/office/2011/relationships/chartColorStyle" Target="colors1.xml"/><Relationship Id="rId3" Type="http://schemas.microsoft.com/office/2011/relationships/chartStyle" Target="style1.xml"/><Relationship Id="rId2" Type="http://schemas.openxmlformats.org/officeDocument/2006/relationships/themeOverride" Target="../theme/themeOverride1.xml"/><Relationship Id="rId1" Type="http://schemas.openxmlformats.org/officeDocument/2006/relationships/oleObject" Target="file:///E:\1&#8212;&#8212;&#21150;&#20844;25.01.10\&#36130;&#24314;&#31185;\2024&#24180;&#36130;&#24314;&#31185;\2025&#24180;&#23545;&#36134;\2024&#22270;&#34920;.xlsx" TargetMode="External"/></Relationships>
</file>

<file path=word/charts/_rels/chart2.xml.rels><?xml version="1.0" encoding="UTF-8" standalone="yes"?>
<Relationships xmlns="http://schemas.openxmlformats.org/package/2006/relationships"><Relationship Id="rId4" Type="http://schemas.microsoft.com/office/2011/relationships/chartColorStyle" Target="colors2.xml"/><Relationship Id="rId3" Type="http://schemas.microsoft.com/office/2011/relationships/chartStyle" Target="style2.xml"/><Relationship Id="rId2" Type="http://schemas.openxmlformats.org/officeDocument/2006/relationships/themeOverride" Target="../theme/themeOverride2.xml"/><Relationship Id="rId1" Type="http://schemas.openxmlformats.org/officeDocument/2006/relationships/oleObject" Target="file:///E:\1&#8212;&#8212;&#21150;&#20844;25.01.10\&#36130;&#24314;&#31185;\2024&#24180;&#36130;&#24314;&#31185;\2025&#24180;&#23545;&#36134;\2024&#22270;&#349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0" vertOverflow="ellipsis" vert="horz" wrap="square" anchor="ctr" anchorCtr="1"/>
          <a:lstStyle/>
          <a:p>
            <a:pPr>
              <a:defRPr lang="zh-CN" sz="1400" b="1" i="0" u="none" strike="noStrike" kern="1200" baseline="0">
                <a:solidFill>
                  <a:schemeClr val="tx1">
                    <a:lumMod val="75000"/>
                    <a:lumOff val="25000"/>
                  </a:schemeClr>
                </a:solidFill>
                <a:latin typeface="+mn-lt"/>
                <a:ea typeface="+mn-ea"/>
                <a:cs typeface="+mn-cs"/>
              </a:defRPr>
            </a:pPr>
            <a:r>
              <a:rPr lang="en-US" altLang="zh-CN"/>
              <a:t>2024</a:t>
            </a:r>
            <a:r>
              <a:rPr lang="zh-CN" altLang="en-US"/>
              <a:t>年收入情况</a:t>
            </a:r>
            <a:endParaRPr lang="zh-CN" altLang="en-US"/>
          </a:p>
        </c:rich>
      </c:tx>
      <c:layout/>
      <c:overlay val="0"/>
      <c:spPr>
        <a:noFill/>
        <a:ln>
          <a:noFill/>
        </a:ln>
        <a:effectLst/>
      </c:spPr>
    </c:title>
    <c:autoTitleDeleted val="0"/>
    <c:plotArea>
      <c:layout/>
      <c:pieChart>
        <c:varyColors val="1"/>
        <c:ser>
          <c:idx val="0"/>
          <c:order val="0"/>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Lbls>
            <c:dLbl>
              <c:idx val="0"/>
              <c:layout/>
              <c:numFmt formatCode="General" sourceLinked="1"/>
              <c:spPr>
                <a:noFill/>
                <a:ln>
                  <a:noFill/>
                </a:ln>
                <a:effectLst/>
              </c:spPr>
              <c:txPr>
                <a:bodyPr rot="0" spcFirstLastPara="0" vertOverflow="ellipsis" vert="horz" wrap="square" lIns="38100" tIns="19050" rIns="38100" bIns="19050" anchor="ctr" anchorCtr="1"/>
                <a:lstStyle/>
                <a:p>
                  <a:pPr>
                    <a:defRPr lang="zh-CN" sz="1000" b="1" i="0" u="none" strike="noStrike" kern="1200" spc="0" baseline="0">
                      <a:solidFill>
                        <a:schemeClr val="accent1"/>
                      </a:solidFill>
                      <a:latin typeface="+mn-lt"/>
                      <a:ea typeface="+mn-ea"/>
                      <a:cs typeface="+mn-cs"/>
                    </a:defRPr>
                  </a:pPr>
                </a:p>
              </c:txPr>
              <c:dLblPos val="outEnd"/>
              <c:showLegendKey val="0"/>
              <c:showVal val="0"/>
              <c:showCatName val="1"/>
              <c:showSerName val="0"/>
              <c:showPercent val="1"/>
              <c:showBubbleSize val="0"/>
              <c:separator>
</c:separator>
              <c:extLst>
                <c:ext xmlns:c15="http://schemas.microsoft.com/office/drawing/2012/chart" uri="{CE6537A1-D6FC-4f65-9D91-7224C49458BB}"/>
              </c:extLst>
            </c:dLbl>
            <c:dLbl>
              <c:idx val="1"/>
              <c:layout/>
              <c:numFmt formatCode="General" sourceLinked="1"/>
              <c:spPr>
                <a:noFill/>
                <a:ln>
                  <a:noFill/>
                </a:ln>
                <a:effectLst/>
              </c:spPr>
              <c:txPr>
                <a:bodyPr rot="0" spcFirstLastPara="0" vertOverflow="ellipsis" vert="horz" wrap="square" lIns="38100" tIns="19050" rIns="38100" bIns="19050" anchor="ctr" anchorCtr="1"/>
                <a:lstStyle/>
                <a:p>
                  <a:pPr>
                    <a:defRPr lang="zh-CN" sz="1000" b="1" i="0" u="none" strike="noStrike" kern="1200" spc="0" baseline="0">
                      <a:solidFill>
                        <a:schemeClr val="accent2"/>
                      </a:solidFill>
                      <a:latin typeface="+mn-lt"/>
                      <a:ea typeface="+mn-ea"/>
                      <a:cs typeface="+mn-cs"/>
                    </a:defRPr>
                  </a:pPr>
                </a:p>
              </c:txPr>
              <c:dLblPos val="outEnd"/>
              <c:showLegendKey val="0"/>
              <c:showVal val="0"/>
              <c:showCatName val="1"/>
              <c:showSerName val="0"/>
              <c:showPercent val="1"/>
              <c:showBubbleSize val="0"/>
              <c:separator>
</c:separator>
              <c:extLst>
                <c:ext xmlns:c15="http://schemas.microsoft.com/office/drawing/2012/chart" uri="{CE6537A1-D6FC-4f65-9D91-7224C49458BB}"/>
              </c:extLst>
            </c:dLbl>
            <c:dLbl>
              <c:idx val="2"/>
              <c:layout/>
              <c:numFmt formatCode="General" sourceLinked="1"/>
              <c:spPr>
                <a:noFill/>
                <a:ln>
                  <a:noFill/>
                </a:ln>
                <a:effectLst/>
              </c:spPr>
              <c:txPr>
                <a:bodyPr rot="0" spcFirstLastPara="0" vertOverflow="ellipsis" vert="horz" wrap="square" lIns="38100" tIns="19050" rIns="38100" bIns="19050" anchor="ctr" anchorCtr="1"/>
                <a:lstStyle/>
                <a:p>
                  <a:pPr>
                    <a:defRPr lang="zh-CN" sz="1000" b="1" i="0" u="none" strike="noStrike" kern="1200" spc="0" baseline="0">
                      <a:solidFill>
                        <a:schemeClr val="accent3"/>
                      </a:solidFill>
                      <a:latin typeface="+mn-lt"/>
                      <a:ea typeface="+mn-ea"/>
                      <a:cs typeface="+mn-cs"/>
                    </a:defRPr>
                  </a:pPr>
                </a:p>
              </c:txPr>
              <c:dLblPos val="outEnd"/>
              <c:showLegendKey val="0"/>
              <c:showVal val="0"/>
              <c:showCatName val="1"/>
              <c:showSerName val="0"/>
              <c:showPercent val="1"/>
              <c:showBubbleSize val="0"/>
              <c:separator>
</c:separator>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1000" b="1" i="0" u="none" strike="noStrike" kern="1200" spc="0" baseline="0">
                    <a:solidFill>
                      <a:schemeClr val="accent1"/>
                    </a:solidFill>
                    <a:latin typeface="+mn-lt"/>
                    <a:ea typeface="+mn-ea"/>
                    <a:cs typeface="+mn-cs"/>
                  </a:defRPr>
                </a:pPr>
              </a:p>
            </c:txPr>
            <c:dLblPos val="outEnd"/>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收入支出占比!$A$2:$A$4</c:f>
              <c:strCache>
                <c:ptCount val="2"/>
                <c:pt idx="0">
                  <c:v>一般公共预算财政拨款收入</c:v>
                </c:pt>
                <c:pt idx="1">
                  <c:v>事业收入</c:v>
                </c:pt>
              </c:strCache>
            </c:strRef>
          </c:cat>
          <c:val>
            <c:numRef>
              <c:f>收入支出占比!$B$2:$B$4</c:f>
              <c:numCache>
                <c:formatCode>#,##0.00</c:formatCode>
                <c:ptCount val="3"/>
                <c:pt idx="0">
                  <c:v>31231156.8</c:v>
                </c:pt>
              </c:numCache>
            </c:numRef>
          </c:val>
        </c:ser>
        <c:dLbls>
          <c:showLegendKey val="0"/>
          <c:showVal val="1"/>
          <c:showCatName val="0"/>
          <c:showSerName val="0"/>
          <c:showPercent val="0"/>
          <c:showBubbleSize val="0"/>
          <c:showLeaderLines val="1"/>
        </c:dLbls>
        <c:firstSliceAng val="36"/>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0" vertOverflow="ellipsis" vert="horz" wrap="square" anchor="ctr" anchorCtr="1"/>
          <a:lstStyle/>
          <a:p>
            <a:pPr>
              <a:defRPr lang="zh-CN" sz="1400" b="1" i="0" u="none" strike="noStrike" kern="1200" baseline="0">
                <a:solidFill>
                  <a:schemeClr val="tx1">
                    <a:lumMod val="75000"/>
                    <a:lumOff val="25000"/>
                  </a:schemeClr>
                </a:solidFill>
                <a:latin typeface="+mn-lt"/>
                <a:ea typeface="+mn-ea"/>
                <a:cs typeface="+mn-cs"/>
              </a:defRPr>
            </a:pPr>
            <a:r>
              <a:rPr lang="en-US" altLang="zh-CN"/>
              <a:t>2024</a:t>
            </a:r>
            <a:r>
              <a:rPr lang="zh-CN" altLang="en-US"/>
              <a:t>年支出情况</a:t>
            </a:r>
            <a:endParaRPr lang="zh-CN" altLang="en-US"/>
          </a:p>
        </c:rich>
      </c:tx>
      <c:layout/>
      <c:overlay val="0"/>
      <c:spPr>
        <a:noFill/>
        <a:ln>
          <a:noFill/>
        </a:ln>
        <a:effectLst/>
      </c:spPr>
    </c:title>
    <c:autoTitleDeleted val="0"/>
    <c:plotArea>
      <c:layout/>
      <c:pieChart>
        <c:varyColors val="1"/>
        <c:ser>
          <c:idx val="0"/>
          <c:order val="0"/>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Lbls>
            <c:dLbl>
              <c:idx val="0"/>
              <c:layout/>
              <c:numFmt formatCode="General" sourceLinked="1"/>
              <c:spPr>
                <a:noFill/>
                <a:ln>
                  <a:noFill/>
                </a:ln>
                <a:effectLst/>
              </c:spPr>
              <c:txPr>
                <a:bodyPr rot="0" spcFirstLastPara="0" vertOverflow="ellipsis" vert="horz" wrap="square" lIns="38100" tIns="19050" rIns="38100" bIns="19050" anchor="ctr" anchorCtr="1"/>
                <a:lstStyle/>
                <a:p>
                  <a:pPr>
                    <a:defRPr lang="zh-CN" sz="1000" b="1" i="0" u="none" strike="noStrike" kern="1200" spc="0" baseline="0">
                      <a:solidFill>
                        <a:schemeClr val="accent1"/>
                      </a:solidFill>
                      <a:latin typeface="+mn-lt"/>
                      <a:ea typeface="+mn-ea"/>
                      <a:cs typeface="+mn-cs"/>
                    </a:defRPr>
                  </a:pPr>
                </a:p>
              </c:txPr>
              <c:dLblPos val="outEnd"/>
              <c:showLegendKey val="0"/>
              <c:showVal val="0"/>
              <c:showCatName val="1"/>
              <c:showSerName val="0"/>
              <c:showPercent val="1"/>
              <c:showBubbleSize val="0"/>
              <c:separator>
</c:separator>
              <c:extLst>
                <c:ext xmlns:c15="http://schemas.microsoft.com/office/drawing/2012/chart" uri="{CE6537A1-D6FC-4f65-9D91-7224C49458BB}"/>
              </c:extLst>
            </c:dLbl>
            <c:dLbl>
              <c:idx val="1"/>
              <c:layout/>
              <c:numFmt formatCode="General" sourceLinked="1"/>
              <c:spPr>
                <a:noFill/>
                <a:ln>
                  <a:noFill/>
                </a:ln>
                <a:effectLst/>
              </c:spPr>
              <c:txPr>
                <a:bodyPr rot="0" spcFirstLastPara="0" vertOverflow="ellipsis" vert="horz" wrap="square" lIns="38100" tIns="19050" rIns="38100" bIns="19050" anchor="ctr" anchorCtr="1"/>
                <a:lstStyle/>
                <a:p>
                  <a:pPr>
                    <a:defRPr lang="zh-CN" sz="1000" b="1" i="0" u="none" strike="noStrike" kern="1200" spc="0" baseline="0">
                      <a:solidFill>
                        <a:schemeClr val="accent2"/>
                      </a:solidFill>
                      <a:latin typeface="+mn-lt"/>
                      <a:ea typeface="+mn-ea"/>
                      <a:cs typeface="+mn-cs"/>
                    </a:defRPr>
                  </a:pPr>
                </a:p>
              </c:txPr>
              <c:dLblPos val="outEnd"/>
              <c:showLegendKey val="0"/>
              <c:showVal val="0"/>
              <c:showCatName val="1"/>
              <c:showSerName val="0"/>
              <c:showPercent val="1"/>
              <c:showBubbleSize val="0"/>
              <c:separator>
</c:separator>
              <c:extLst>
                <c:ext xmlns:c15="http://schemas.microsoft.com/office/drawing/2012/chart" uri="{CE6537A1-D6FC-4f65-9D91-7224C49458BB}"/>
              </c:extLst>
            </c:dLbl>
            <c:dLbl>
              <c:idx val="2"/>
              <c:layout/>
              <c:numFmt formatCode="General" sourceLinked="1"/>
              <c:spPr>
                <a:noFill/>
                <a:ln>
                  <a:noFill/>
                </a:ln>
                <a:effectLst/>
              </c:spPr>
              <c:txPr>
                <a:bodyPr rot="0" spcFirstLastPara="0" vertOverflow="ellipsis" vert="horz" wrap="square" lIns="38100" tIns="19050" rIns="38100" bIns="19050" anchor="ctr" anchorCtr="1"/>
                <a:lstStyle/>
                <a:p>
                  <a:pPr>
                    <a:defRPr lang="zh-CN" sz="1000" b="1" i="0" u="none" strike="noStrike" kern="1200" spc="0" baseline="0">
                      <a:solidFill>
                        <a:schemeClr val="accent3"/>
                      </a:solidFill>
                      <a:latin typeface="+mn-lt"/>
                      <a:ea typeface="+mn-ea"/>
                      <a:cs typeface="+mn-cs"/>
                    </a:defRPr>
                  </a:pPr>
                </a:p>
              </c:txPr>
              <c:dLblPos val="outEnd"/>
              <c:showLegendKey val="0"/>
              <c:showVal val="0"/>
              <c:showCatName val="1"/>
              <c:showSerName val="0"/>
              <c:showPercent val="1"/>
              <c:showBubbleSize val="0"/>
              <c:separator>
</c:separator>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1000" b="1" i="0" u="none" strike="noStrike" kern="1200" spc="0" baseline="0">
                    <a:solidFill>
                      <a:schemeClr val="accent1"/>
                    </a:solidFill>
                    <a:latin typeface="+mn-lt"/>
                    <a:ea typeface="+mn-ea"/>
                    <a:cs typeface="+mn-cs"/>
                  </a:defRPr>
                </a:pPr>
              </a:p>
            </c:txPr>
            <c:dLblPos val="outEnd"/>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收入支出占比!$A$29:$A$31</c:f>
              <c:strCache>
                <c:ptCount val="2"/>
                <c:pt idx="0">
                  <c:v>基本支出</c:v>
                </c:pt>
                <c:pt idx="1">
                  <c:v>项目支出</c:v>
                </c:pt>
              </c:strCache>
            </c:strRef>
          </c:cat>
          <c:val>
            <c:numRef>
              <c:f>收入支出占比!$B$29:$B$31</c:f>
              <c:numCache>
                <c:formatCode>#,##0.00</c:formatCode>
                <c:ptCount val="3"/>
                <c:pt idx="0">
                  <c:v>18387136.29</c:v>
                </c:pt>
                <c:pt idx="1">
                  <c:v>12844020.51</c:v>
                </c:pt>
              </c:numCache>
            </c:numRef>
          </c:val>
        </c:ser>
        <c:dLbls>
          <c:showLegendKey val="0"/>
          <c:showVal val="1"/>
          <c:showCatName val="0"/>
          <c:showSerName val="0"/>
          <c:showPercent val="0"/>
          <c:showBubbleSize val="0"/>
          <c:showLeaderLines val="1"/>
        </c:dLbls>
        <c:firstSliceAng val="36"/>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4">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cs:styleClr val="auto"/>
    </cs:fontRef>
    <cs:defRPr sz="1000" b="1" i="0" u="none" strike="noStrike" kern="1200" spc="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84">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cs:styleClr val="auto"/>
    </cs:fontRef>
    <cs:defRPr sz="1000" b="1" i="0" u="none" strike="noStrike" kern="1200" spc="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4551</Words>
  <Characters>5128</Characters>
  <Lines>44</Lines>
  <Paragraphs>12</Paragraphs>
  <TotalTime>0</TotalTime>
  <ScaleCrop>false</ScaleCrop>
  <LinksUpToDate>false</LinksUpToDate>
  <CharactersWithSpaces>5171</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pc</cp:lastModifiedBy>
  <cp:lastPrinted>2020-08-09T03:39:00Z</cp:lastPrinted>
  <dcterms:modified xsi:type="dcterms:W3CDTF">2025-11-06T07:18:58Z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A7F78878FB63AC2F75B4B7682BD79272</vt:lpwstr>
  </property>
  <property fmtid="{D5CDD505-2E9C-101B-9397-08002B2CF9AE}" pid="4" name="KSOTemplateDocerSaveRecord">
    <vt:lpwstr>eyJoZGlkIjoiYzcwM2ZmMGY0NzliZWQ0NDQ1OTVmNWQ1NjNhNzdjYTQiLCJ1c2VySWQiOiI5Nzg5NDQ5MTYifQ==</vt:lpwstr>
  </property>
</Properties>
</file>